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0E" w:rsidRPr="00384CB2" w:rsidRDefault="00D47B0E" w:rsidP="00D47B0E">
      <w:pPr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t xml:space="preserve">Kuwait Finance House (Malaysia) Berhad </w:t>
      </w:r>
    </w:p>
    <w:p w:rsidR="00B31F4E" w:rsidRPr="00384CB2" w:rsidRDefault="00B31F4E" w:rsidP="00D47B0E">
      <w:pPr>
        <w:jc w:val="center"/>
        <w:rPr>
          <w:rFonts w:cs="Arial"/>
          <w:b/>
          <w:sz w:val="36"/>
          <w:szCs w:val="36"/>
        </w:rPr>
      </w:pPr>
    </w:p>
    <w:p w:rsidR="00B31F4E" w:rsidRPr="00384CB2" w:rsidRDefault="00B31F4E" w:rsidP="00D47B0E">
      <w:pPr>
        <w:jc w:val="center"/>
        <w:rPr>
          <w:rFonts w:cs="Arial"/>
          <w:b/>
          <w:sz w:val="36"/>
          <w:szCs w:val="36"/>
        </w:rPr>
      </w:pPr>
    </w:p>
    <w:p w:rsidR="00E32A88" w:rsidRPr="00384CB2" w:rsidRDefault="00E32A88" w:rsidP="00D47B0E">
      <w:pPr>
        <w:jc w:val="center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t>KFH Online (Consumer &amp; Business)</w:t>
      </w:r>
    </w:p>
    <w:p w:rsidR="00040255" w:rsidRPr="00384CB2" w:rsidRDefault="00942C60" w:rsidP="00D47B0E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MEPS New Requirements</w:t>
      </w:r>
    </w:p>
    <w:p w:rsidR="00040255" w:rsidRPr="00384CB2" w:rsidRDefault="00040255" w:rsidP="00040255">
      <w:pPr>
        <w:jc w:val="center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t>Business Requirement Specification (BRS)</w:t>
      </w:r>
    </w:p>
    <w:p w:rsidR="00040255" w:rsidRPr="00384CB2" w:rsidRDefault="00040255" w:rsidP="00D47B0E">
      <w:pPr>
        <w:jc w:val="center"/>
        <w:rPr>
          <w:rFonts w:cs="Arial"/>
          <w:b/>
          <w:sz w:val="36"/>
          <w:szCs w:val="36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040255" w:rsidP="00D47B0E">
      <w:pPr>
        <w:jc w:val="center"/>
        <w:rPr>
          <w:rFonts w:cs="Arial"/>
        </w:rPr>
      </w:pPr>
      <w:r w:rsidRPr="00384CB2">
        <w:rPr>
          <w:rFonts w:cs="Arial"/>
        </w:rPr>
        <w:t>Version 1.0</w:t>
      </w: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</w:rPr>
      </w:pPr>
    </w:p>
    <w:p w:rsidR="00D47B0E" w:rsidRPr="00384CB2" w:rsidRDefault="00D47B0E" w:rsidP="00D47B0E">
      <w:pPr>
        <w:jc w:val="center"/>
        <w:rPr>
          <w:rFonts w:cs="Arial"/>
          <w:b/>
          <w:szCs w:val="20"/>
        </w:rPr>
      </w:pPr>
      <w:r w:rsidRPr="00384CB2">
        <w:rPr>
          <w:rFonts w:cs="Arial"/>
          <w:b/>
          <w:szCs w:val="20"/>
        </w:rPr>
        <w:t>Prepared By:</w:t>
      </w:r>
    </w:p>
    <w:p w:rsidR="00040255" w:rsidRPr="00384CB2" w:rsidRDefault="00040255" w:rsidP="00040255">
      <w:pPr>
        <w:jc w:val="center"/>
        <w:rPr>
          <w:rFonts w:cs="Arial"/>
          <w:b/>
          <w:szCs w:val="20"/>
        </w:rPr>
      </w:pPr>
      <w:r w:rsidRPr="00384CB2">
        <w:rPr>
          <w:rFonts w:cs="Arial"/>
          <w:b/>
          <w:szCs w:val="20"/>
        </w:rPr>
        <w:t xml:space="preserve">Product Development </w:t>
      </w:r>
    </w:p>
    <w:p w:rsidR="00040255" w:rsidRPr="00384CB2" w:rsidRDefault="00040255" w:rsidP="00D47B0E">
      <w:pPr>
        <w:jc w:val="center"/>
        <w:rPr>
          <w:rFonts w:cs="Arial"/>
          <w:b/>
          <w:szCs w:val="20"/>
        </w:rPr>
      </w:pPr>
      <w:r w:rsidRPr="00384CB2">
        <w:rPr>
          <w:rFonts w:cs="Arial"/>
          <w:b/>
          <w:szCs w:val="20"/>
        </w:rPr>
        <w:t>May 2010</w:t>
      </w:r>
    </w:p>
    <w:p w:rsidR="00D47B0E" w:rsidRPr="00384CB2" w:rsidRDefault="00D47B0E" w:rsidP="00D47B0E">
      <w:pPr>
        <w:jc w:val="center"/>
        <w:rPr>
          <w:rFonts w:cs="Arial"/>
          <w:b/>
          <w:szCs w:val="20"/>
        </w:rPr>
      </w:pPr>
    </w:p>
    <w:p w:rsidR="00D47B0E" w:rsidRPr="00384CB2" w:rsidRDefault="00D47B0E" w:rsidP="00D47B0E">
      <w:pPr>
        <w:jc w:val="center"/>
        <w:rPr>
          <w:rFonts w:cs="Arial"/>
          <w:szCs w:val="20"/>
        </w:rPr>
      </w:pPr>
    </w:p>
    <w:p w:rsidR="00D47B0E" w:rsidRPr="00384CB2" w:rsidRDefault="00D47B0E" w:rsidP="00D47B0E">
      <w:pPr>
        <w:jc w:val="center"/>
        <w:rPr>
          <w:rFonts w:cs="Arial"/>
          <w:lang w:val="it-IT"/>
        </w:rPr>
      </w:pPr>
    </w:p>
    <w:p w:rsidR="00D47B0E" w:rsidRPr="00384CB2" w:rsidRDefault="00D47B0E" w:rsidP="00D47B0E">
      <w:pPr>
        <w:rPr>
          <w:rFonts w:cs="Arial"/>
          <w:lang w:val="it-IT"/>
        </w:rPr>
      </w:pPr>
    </w:p>
    <w:p w:rsidR="00D47B0E" w:rsidRPr="00384CB2" w:rsidRDefault="00D47B0E" w:rsidP="00D47B0E">
      <w:pPr>
        <w:rPr>
          <w:rFonts w:cs="Arial"/>
          <w:b/>
          <w:bCs/>
          <w:color w:val="000000"/>
          <w:sz w:val="28"/>
          <w:szCs w:val="28"/>
        </w:rPr>
      </w:pPr>
      <w:r w:rsidRPr="00384CB2">
        <w:rPr>
          <w:rFonts w:cs="Arial"/>
          <w:b/>
          <w:sz w:val="36"/>
          <w:szCs w:val="36"/>
          <w:lang w:val="it-IT"/>
        </w:rPr>
        <w:br w:type="page"/>
      </w:r>
      <w:r w:rsidRPr="00384CB2">
        <w:rPr>
          <w:rFonts w:cs="Arial"/>
          <w:b/>
          <w:bCs/>
          <w:color w:val="000000"/>
          <w:sz w:val="28"/>
          <w:szCs w:val="28"/>
        </w:rPr>
        <w:lastRenderedPageBreak/>
        <w:t xml:space="preserve">Document Administration </w:t>
      </w:r>
    </w:p>
    <w:p w:rsidR="00D47B0E" w:rsidRPr="00384CB2" w:rsidRDefault="00D47B0E" w:rsidP="00D47B0E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</w:rPr>
      </w:pPr>
    </w:p>
    <w:p w:rsidR="00D47B0E" w:rsidRPr="00384CB2" w:rsidRDefault="00D47B0E" w:rsidP="00D47B0E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  <w:r w:rsidRPr="00384CB2">
        <w:rPr>
          <w:rFonts w:cs="Arial"/>
          <w:b/>
          <w:bCs/>
          <w:color w:val="000000"/>
          <w:sz w:val="28"/>
          <w:szCs w:val="28"/>
        </w:rPr>
        <w:t xml:space="preserve">Document Amendment Log </w:t>
      </w:r>
    </w:p>
    <w:tbl>
      <w:tblPr>
        <w:tblW w:w="8707" w:type="dxa"/>
        <w:tblInd w:w="4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47"/>
        <w:gridCol w:w="1530"/>
        <w:gridCol w:w="4140"/>
        <w:gridCol w:w="1890"/>
      </w:tblGrid>
      <w:tr w:rsidR="00040255" w:rsidRPr="00384CB2" w:rsidTr="00040255">
        <w:trPr>
          <w:trHeight w:val="457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Version 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Date Updated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Description of Change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b/>
                <w:bCs/>
                <w:color w:val="000000"/>
                <w:sz w:val="18"/>
                <w:szCs w:val="18"/>
              </w:rPr>
              <w:t>Updated By</w:t>
            </w:r>
          </w:p>
          <w:p w:rsidR="00040255" w:rsidRPr="00384CB2" w:rsidRDefault="00040255" w:rsidP="00040255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40255" w:rsidRPr="00384CB2" w:rsidTr="00040255">
        <w:trPr>
          <w:trHeight w:val="53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color w:val="000000"/>
                <w:sz w:val="18"/>
                <w:szCs w:val="18"/>
              </w:rPr>
              <w:t xml:space="preserve">1.0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color w:val="000000"/>
                <w:sz w:val="18"/>
                <w:szCs w:val="18"/>
              </w:rPr>
              <w:t xml:space="preserve">Initial Release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84CB2">
              <w:rPr>
                <w:rFonts w:cs="Arial"/>
                <w:color w:val="000000"/>
                <w:sz w:val="18"/>
                <w:szCs w:val="18"/>
              </w:rPr>
              <w:t>Kamaruddin Damiri</w:t>
            </w:r>
          </w:p>
        </w:tc>
      </w:tr>
      <w:tr w:rsidR="00040255" w:rsidRPr="00384CB2" w:rsidTr="00040255">
        <w:trPr>
          <w:trHeight w:val="53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55" w:rsidRPr="00384CB2" w:rsidRDefault="00040255" w:rsidP="00040255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47B0E" w:rsidRPr="00384CB2" w:rsidRDefault="00D47B0E" w:rsidP="00D47B0E">
      <w:pPr>
        <w:rPr>
          <w:rFonts w:cs="Arial"/>
          <w:b/>
        </w:rPr>
      </w:pPr>
    </w:p>
    <w:p w:rsidR="00D47B0E" w:rsidRPr="00384CB2" w:rsidRDefault="00D47B0E" w:rsidP="00D47B0E">
      <w:pPr>
        <w:rPr>
          <w:rFonts w:cs="Arial"/>
          <w:b/>
        </w:rPr>
      </w:pPr>
    </w:p>
    <w:p w:rsidR="00040255" w:rsidRPr="00384CB2" w:rsidRDefault="00040255">
      <w:pPr>
        <w:widowControl/>
        <w:spacing w:after="200" w:line="276" w:lineRule="auto"/>
        <w:jc w:val="left"/>
        <w:rPr>
          <w:rFonts w:cs="Arial"/>
          <w:b/>
          <w:sz w:val="36"/>
          <w:szCs w:val="36"/>
        </w:rPr>
      </w:pPr>
      <w:r w:rsidRPr="00384CB2">
        <w:rPr>
          <w:rFonts w:cs="Arial"/>
          <w:b/>
          <w:sz w:val="36"/>
          <w:szCs w:val="36"/>
        </w:rPr>
        <w:br w:type="page"/>
      </w:r>
    </w:p>
    <w:p w:rsidR="005D2042" w:rsidRDefault="00D47B0E" w:rsidP="00D47B0E">
      <w:pPr>
        <w:rPr>
          <w:noProof/>
        </w:rPr>
      </w:pPr>
      <w:r w:rsidRPr="00384CB2">
        <w:rPr>
          <w:rFonts w:cs="Arial"/>
          <w:b/>
          <w:sz w:val="36"/>
          <w:szCs w:val="36"/>
        </w:rPr>
        <w:lastRenderedPageBreak/>
        <w:t>Table of Contents</w:t>
      </w:r>
      <w:r w:rsidR="00D541BA" w:rsidRPr="00D541BA">
        <w:rPr>
          <w:rFonts w:cs="Arial"/>
          <w:b/>
          <w:sz w:val="36"/>
          <w:szCs w:val="36"/>
        </w:rPr>
        <w:fldChar w:fldCharType="begin"/>
      </w:r>
      <w:r w:rsidRPr="00384CB2">
        <w:rPr>
          <w:rFonts w:cs="Arial"/>
          <w:b/>
          <w:sz w:val="36"/>
          <w:szCs w:val="36"/>
        </w:rPr>
        <w:instrText xml:space="preserve"> TOC \o "1-3" \h \z \u </w:instrText>
      </w:r>
      <w:r w:rsidR="00D541BA" w:rsidRPr="00D541BA">
        <w:rPr>
          <w:rFonts w:cs="Arial"/>
          <w:b/>
          <w:sz w:val="36"/>
          <w:szCs w:val="36"/>
        </w:rPr>
        <w:fldChar w:fldCharType="separate"/>
      </w:r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0" w:history="1">
        <w:r w:rsidRPr="007B0EF1">
          <w:rPr>
            <w:rStyle w:val="Hyperlink"/>
            <w:rFonts w:cs="Arial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1" w:history="1">
        <w:r w:rsidRPr="007B0EF1">
          <w:rPr>
            <w:rStyle w:val="Hyperlink"/>
            <w:rFonts w:cs="Arial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rFonts w:cs="Arial"/>
            <w:noProof/>
          </w:rPr>
          <w:t>Objective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2" w:history="1">
        <w:r w:rsidRPr="007B0EF1">
          <w:rPr>
            <w:rStyle w:val="Hyperlink"/>
            <w:rFonts w:cs="Arial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rFonts w:cs="Arial"/>
            <w:noProof/>
          </w:rPr>
          <w:t>eShare Payment (ESP)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3" w:history="1">
        <w:r w:rsidRPr="007B0EF1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KFH Online (BIB):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4" w:history="1">
        <w:r w:rsidRPr="007B0EF1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rFonts w:cs="Arial"/>
            <w:noProof/>
          </w:rPr>
          <w:t>IBG Core and Payswitch: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5" w:history="1">
        <w:r w:rsidRPr="007B0EF1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CORUS Report: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6" w:history="1">
        <w:r w:rsidRPr="007B0EF1">
          <w:rPr>
            <w:rStyle w:val="Hyperlink"/>
            <w:rFonts w:cs="Arial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rFonts w:cs="Arial"/>
            <w:noProof/>
          </w:rPr>
          <w:t>New 2</w:t>
        </w:r>
        <w:r w:rsidRPr="007B0EF1">
          <w:rPr>
            <w:rStyle w:val="Hyperlink"/>
            <w:rFonts w:cs="Arial"/>
            <w:noProof/>
            <w:vertAlign w:val="superscript"/>
          </w:rPr>
          <w:t>nd</w:t>
        </w:r>
        <w:r w:rsidRPr="007B0EF1">
          <w:rPr>
            <w:rStyle w:val="Hyperlink"/>
            <w:rFonts w:cs="Arial"/>
            <w:noProof/>
          </w:rPr>
          <w:t xml:space="preserve"> Validation Specification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7" w:history="1">
        <w:r w:rsidRPr="007B0EF1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IBG Addenda New Specifications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8" w:history="1">
        <w:r w:rsidRPr="007B0EF1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The Requirements: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29" w:history="1">
        <w:r w:rsidRPr="007B0EF1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IBG Increase Limit &amp; Fee Revision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30" w:history="1">
        <w:r w:rsidRPr="007B0EF1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BVMC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31" w:history="1">
        <w:r w:rsidRPr="007B0EF1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CORUS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32" w:history="1">
        <w:r w:rsidRPr="007B0EF1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AG Salary Payment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D2042" w:rsidRDefault="005D2042" w:rsidP="005D2042">
      <w:pPr>
        <w:pStyle w:val="TOC2"/>
        <w:tabs>
          <w:tab w:val="left" w:pos="1100"/>
          <w:tab w:val="right" w:leader="dot" w:pos="8296"/>
        </w:tabs>
        <w:ind w:left="40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33" w:history="1">
        <w:r w:rsidRPr="007B0EF1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The Requirement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D2042" w:rsidRDefault="005D2042">
      <w:pPr>
        <w:pStyle w:val="TOC1"/>
        <w:tabs>
          <w:tab w:val="left" w:pos="420"/>
          <w:tab w:val="right" w:leader="dot" w:pos="8296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en-US"/>
        </w:rPr>
      </w:pPr>
      <w:hyperlink w:anchor="_Toc263751634" w:history="1">
        <w:r w:rsidRPr="007B0EF1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  <w:lang w:eastAsia="en-US"/>
          </w:rPr>
          <w:tab/>
        </w:r>
        <w:r w:rsidRPr="007B0EF1">
          <w:rPr>
            <w:rStyle w:val="Hyperlink"/>
            <w:noProof/>
          </w:rPr>
          <w:t>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_Toc263751634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47B0E" w:rsidRPr="00384CB2" w:rsidRDefault="00D541BA" w:rsidP="00D47B0E">
      <w:pPr>
        <w:rPr>
          <w:rFonts w:cs="Arial"/>
          <w:b/>
          <w:sz w:val="36"/>
          <w:szCs w:val="36"/>
        </w:rPr>
        <w:sectPr w:rsidR="00D47B0E" w:rsidRPr="00384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0" w:bottom="1440" w:left="1800" w:header="720" w:footer="720" w:gutter="0"/>
          <w:cols w:space="720"/>
          <w:docGrid w:type="lines" w:linePitch="312"/>
        </w:sectPr>
      </w:pPr>
      <w:r w:rsidRPr="00384CB2">
        <w:rPr>
          <w:rFonts w:cs="Arial"/>
        </w:rPr>
        <w:fldChar w:fldCharType="end"/>
      </w:r>
    </w:p>
    <w:p w:rsidR="00D47B0E" w:rsidRPr="00384CB2" w:rsidRDefault="00D47B0E" w:rsidP="00D47B0E">
      <w:pPr>
        <w:pStyle w:val="Heading1"/>
        <w:jc w:val="both"/>
        <w:rPr>
          <w:rFonts w:cs="Arial"/>
          <w:sz w:val="36"/>
          <w:szCs w:val="36"/>
        </w:rPr>
      </w:pPr>
      <w:bookmarkStart w:id="0" w:name="_Toc263751620"/>
      <w:r w:rsidRPr="00384CB2">
        <w:rPr>
          <w:rFonts w:cs="Arial"/>
          <w:sz w:val="36"/>
          <w:szCs w:val="36"/>
        </w:rPr>
        <w:lastRenderedPageBreak/>
        <w:t>Introduction</w:t>
      </w:r>
      <w:bookmarkEnd w:id="0"/>
    </w:p>
    <w:p w:rsidR="00D47B0E" w:rsidRPr="00384CB2" w:rsidRDefault="00D47B0E" w:rsidP="00D47B0E">
      <w:pPr>
        <w:rPr>
          <w:rFonts w:cs="Arial"/>
          <w:bCs/>
          <w:szCs w:val="20"/>
        </w:rPr>
      </w:pPr>
    </w:p>
    <w:p w:rsidR="00D47B0E" w:rsidRDefault="00040255" w:rsidP="00D47B0E">
      <w:pPr>
        <w:rPr>
          <w:rFonts w:cs="Arial"/>
          <w:bCs/>
          <w:szCs w:val="20"/>
        </w:rPr>
      </w:pPr>
      <w:r w:rsidRPr="00384CB2">
        <w:rPr>
          <w:rFonts w:cs="Arial"/>
          <w:bCs/>
          <w:szCs w:val="20"/>
        </w:rPr>
        <w:t xml:space="preserve">The </w:t>
      </w:r>
      <w:r w:rsidR="00942C60">
        <w:rPr>
          <w:rFonts w:cs="Arial"/>
          <w:bCs/>
          <w:szCs w:val="20"/>
        </w:rPr>
        <w:t>Interbank GIRO (IBG) payment services through KFH Online has successfully launched for customer to utilize the services. It provides convenience for customer to do fund transfer within MEPS member banks.</w:t>
      </w:r>
    </w:p>
    <w:p w:rsidR="00942C60" w:rsidRDefault="00942C60" w:rsidP="00D47B0E">
      <w:pPr>
        <w:rPr>
          <w:rFonts w:cs="Arial"/>
          <w:bCs/>
          <w:szCs w:val="20"/>
        </w:rPr>
      </w:pPr>
    </w:p>
    <w:p w:rsidR="00942C60" w:rsidRDefault="00942C60" w:rsidP="00D47B0E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As to provide more convenient and enhanced services, MEPS is now providing a list of new requirements for all member banks to develop for the benefit of customers and banks as a community.</w:t>
      </w:r>
      <w:r w:rsidR="0009236F">
        <w:rPr>
          <w:rFonts w:cs="Arial"/>
          <w:bCs/>
          <w:szCs w:val="20"/>
        </w:rPr>
        <w:t xml:space="preserve"> The new requirements for MEPS IBG are as follows:</w:t>
      </w:r>
    </w:p>
    <w:p w:rsidR="0009236F" w:rsidRDefault="0009236F" w:rsidP="00D47B0E">
      <w:pPr>
        <w:rPr>
          <w:rFonts w:cs="Arial"/>
          <w:bCs/>
          <w:szCs w:val="20"/>
        </w:rPr>
      </w:pPr>
    </w:p>
    <w:p w:rsidR="0009236F" w:rsidRDefault="0009236F" w:rsidP="0009236F">
      <w:pPr>
        <w:pStyle w:val="ListParagraph"/>
        <w:numPr>
          <w:ilvl w:val="0"/>
          <w:numId w:val="21"/>
        </w:numPr>
        <w:rPr>
          <w:rFonts w:cs="Arial"/>
          <w:bCs/>
          <w:szCs w:val="20"/>
        </w:rPr>
      </w:pPr>
      <w:r>
        <w:rPr>
          <w:rFonts w:cs="Arial"/>
          <w:bCs/>
          <w:szCs w:val="20"/>
        </w:rPr>
        <w:t>eShare Payment (ESP)</w:t>
      </w:r>
    </w:p>
    <w:p w:rsidR="0009236F" w:rsidRPr="0009236F" w:rsidRDefault="00417570" w:rsidP="0009236F">
      <w:pPr>
        <w:pStyle w:val="ListParagraph"/>
        <w:numPr>
          <w:ilvl w:val="0"/>
          <w:numId w:val="21"/>
        </w:num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New </w:t>
      </w:r>
      <w:r w:rsidR="0009236F">
        <w:rPr>
          <w:rFonts w:cs="Arial"/>
          <w:bCs/>
          <w:szCs w:val="20"/>
        </w:rPr>
        <w:t>2</w:t>
      </w:r>
      <w:r w:rsidR="0009236F" w:rsidRPr="0009236F">
        <w:rPr>
          <w:rFonts w:cs="Arial"/>
          <w:bCs/>
          <w:szCs w:val="20"/>
          <w:vertAlign w:val="superscript"/>
        </w:rPr>
        <w:t>nd</w:t>
      </w:r>
      <w:r w:rsidR="0009236F">
        <w:rPr>
          <w:rFonts w:cs="Arial"/>
          <w:bCs/>
          <w:szCs w:val="20"/>
        </w:rPr>
        <w:t xml:space="preserve"> Validation </w:t>
      </w:r>
      <w:r>
        <w:rPr>
          <w:rFonts w:cs="Arial"/>
          <w:bCs/>
          <w:szCs w:val="20"/>
        </w:rPr>
        <w:t>Specification</w:t>
      </w:r>
    </w:p>
    <w:p w:rsidR="00040255" w:rsidRPr="00384CB2" w:rsidRDefault="00040255" w:rsidP="00D47B0E">
      <w:pPr>
        <w:rPr>
          <w:rFonts w:cs="Arial"/>
          <w:bCs/>
          <w:szCs w:val="20"/>
        </w:rPr>
      </w:pPr>
    </w:p>
    <w:p w:rsidR="00D47B0E" w:rsidRPr="00384CB2" w:rsidRDefault="00040255" w:rsidP="00D47B0E">
      <w:pPr>
        <w:rPr>
          <w:rFonts w:cs="Arial"/>
          <w:bCs/>
          <w:szCs w:val="20"/>
        </w:rPr>
      </w:pPr>
      <w:r w:rsidRPr="00384CB2">
        <w:rPr>
          <w:rFonts w:cs="Arial"/>
          <w:bCs/>
          <w:szCs w:val="20"/>
        </w:rPr>
        <w:t xml:space="preserve">The document will </w:t>
      </w:r>
      <w:r w:rsidR="00515AF3" w:rsidRPr="00384CB2">
        <w:rPr>
          <w:rFonts w:cs="Arial"/>
          <w:bCs/>
          <w:szCs w:val="20"/>
        </w:rPr>
        <w:t xml:space="preserve">detail out the </w:t>
      </w:r>
      <w:r w:rsidR="00B10175">
        <w:rPr>
          <w:rFonts w:cs="Arial"/>
          <w:bCs/>
          <w:szCs w:val="20"/>
        </w:rPr>
        <w:t xml:space="preserve">MEPS </w:t>
      </w:r>
      <w:r w:rsidR="00942C60" w:rsidRPr="00384CB2">
        <w:rPr>
          <w:rFonts w:cs="Arial"/>
          <w:bCs/>
          <w:szCs w:val="20"/>
        </w:rPr>
        <w:t xml:space="preserve">requirement </w:t>
      </w:r>
      <w:r w:rsidR="00942C60">
        <w:rPr>
          <w:rFonts w:cs="Arial"/>
          <w:bCs/>
          <w:szCs w:val="20"/>
        </w:rPr>
        <w:t>that requires</w:t>
      </w:r>
      <w:r w:rsidR="00515AF3" w:rsidRPr="00384CB2">
        <w:rPr>
          <w:rFonts w:cs="Arial"/>
          <w:bCs/>
          <w:szCs w:val="20"/>
        </w:rPr>
        <w:t xml:space="preserve"> KFH Online </w:t>
      </w:r>
      <w:r w:rsidR="00942C60">
        <w:rPr>
          <w:rFonts w:cs="Arial"/>
          <w:bCs/>
          <w:szCs w:val="20"/>
        </w:rPr>
        <w:t>and IBG Core to handle such new enha</w:t>
      </w:r>
      <w:r w:rsidR="00B10175">
        <w:rPr>
          <w:rFonts w:cs="Arial"/>
          <w:bCs/>
          <w:szCs w:val="20"/>
        </w:rPr>
        <w:t>ncement. The requirement will be based on each and every modules required by MEPS.</w:t>
      </w:r>
    </w:p>
    <w:p w:rsidR="0032352F" w:rsidRPr="00384CB2" w:rsidRDefault="0032352F" w:rsidP="00D47B0E">
      <w:pPr>
        <w:rPr>
          <w:rFonts w:cs="Arial"/>
          <w:bCs/>
          <w:szCs w:val="20"/>
        </w:rPr>
      </w:pPr>
    </w:p>
    <w:p w:rsidR="0032352F" w:rsidRPr="001305B4" w:rsidRDefault="0032352F" w:rsidP="0032352F">
      <w:pPr>
        <w:pStyle w:val="Heading2"/>
        <w:rPr>
          <w:rFonts w:cs="Arial"/>
          <w:sz w:val="28"/>
          <w:szCs w:val="28"/>
        </w:rPr>
      </w:pPr>
      <w:bookmarkStart w:id="1" w:name="_Toc263751621"/>
      <w:r w:rsidRPr="001305B4">
        <w:rPr>
          <w:rFonts w:cs="Arial"/>
          <w:sz w:val="28"/>
          <w:szCs w:val="28"/>
        </w:rPr>
        <w:t>Objective</w:t>
      </w:r>
      <w:bookmarkEnd w:id="1"/>
    </w:p>
    <w:p w:rsidR="0032352F" w:rsidRPr="00384CB2" w:rsidRDefault="0032352F" w:rsidP="0032352F">
      <w:pPr>
        <w:rPr>
          <w:rFonts w:cs="Arial"/>
        </w:rPr>
      </w:pPr>
      <w:r w:rsidRPr="00384CB2">
        <w:rPr>
          <w:rFonts w:cs="Arial"/>
        </w:rPr>
        <w:t>The objective of this document is to highlight and explain the requirement as to get the complete understanding and agreement on the following:</w:t>
      </w:r>
    </w:p>
    <w:p w:rsidR="0032352F" w:rsidRPr="00384CB2" w:rsidRDefault="0032352F" w:rsidP="0032352F">
      <w:pPr>
        <w:rPr>
          <w:rFonts w:cs="Arial"/>
        </w:rPr>
      </w:pPr>
    </w:p>
    <w:p w:rsidR="0032352F" w:rsidRPr="00384CB2" w:rsidRDefault="0032352F" w:rsidP="000339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4CB2">
        <w:rPr>
          <w:rFonts w:ascii="Arial" w:hAnsi="Arial" w:cs="Arial"/>
          <w:sz w:val="20"/>
          <w:szCs w:val="20"/>
        </w:rPr>
        <w:t>Functional specification</w:t>
      </w:r>
      <w:r w:rsidR="00633206" w:rsidRPr="00384CB2">
        <w:rPr>
          <w:rFonts w:ascii="Arial" w:hAnsi="Arial" w:cs="Arial"/>
          <w:sz w:val="20"/>
          <w:szCs w:val="20"/>
        </w:rPr>
        <w:t>s</w:t>
      </w:r>
      <w:r w:rsidRPr="00384CB2">
        <w:rPr>
          <w:rFonts w:ascii="Arial" w:hAnsi="Arial" w:cs="Arial"/>
          <w:sz w:val="20"/>
          <w:szCs w:val="20"/>
        </w:rPr>
        <w:t xml:space="preserve"> that will be available in KFH Online for Consumer &amp; Business Banking.</w:t>
      </w:r>
    </w:p>
    <w:p w:rsidR="0032352F" w:rsidRPr="00384CB2" w:rsidRDefault="00633206" w:rsidP="0003396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84CB2">
        <w:rPr>
          <w:rFonts w:ascii="Arial" w:hAnsi="Arial" w:cs="Arial"/>
          <w:sz w:val="20"/>
          <w:szCs w:val="20"/>
        </w:rPr>
        <w:t xml:space="preserve">Any constraints that will affect the existing </w:t>
      </w:r>
      <w:r w:rsidR="00B10175">
        <w:rPr>
          <w:rFonts w:ascii="Arial" w:hAnsi="Arial" w:cs="Arial"/>
          <w:sz w:val="20"/>
          <w:szCs w:val="20"/>
        </w:rPr>
        <w:t>KFH Online and IBG Core to adapt the new changes/requirements.</w:t>
      </w:r>
      <w:r w:rsidR="007C3608" w:rsidRPr="00384CB2">
        <w:rPr>
          <w:rFonts w:ascii="Arial" w:hAnsi="Arial" w:cs="Arial"/>
          <w:sz w:val="20"/>
          <w:szCs w:val="20"/>
        </w:rPr>
        <w:t xml:space="preserve"> </w:t>
      </w:r>
    </w:p>
    <w:p w:rsidR="0032352F" w:rsidRPr="00384CB2" w:rsidRDefault="0032352F" w:rsidP="00D47B0E">
      <w:pPr>
        <w:rPr>
          <w:rFonts w:cs="Arial"/>
          <w:bCs/>
          <w:szCs w:val="20"/>
        </w:rPr>
      </w:pPr>
    </w:p>
    <w:p w:rsidR="00302E73" w:rsidRPr="00384CB2" w:rsidRDefault="00D47B0E" w:rsidP="00040255">
      <w:pPr>
        <w:pStyle w:val="Heading1"/>
        <w:rPr>
          <w:rFonts w:cs="Arial"/>
          <w:sz w:val="36"/>
          <w:szCs w:val="36"/>
        </w:rPr>
      </w:pPr>
      <w:r w:rsidRPr="00384CB2">
        <w:rPr>
          <w:rFonts w:cs="Arial"/>
        </w:rPr>
        <w:br w:type="page"/>
      </w:r>
      <w:bookmarkStart w:id="2" w:name="_Toc263751622"/>
      <w:r w:rsidR="00B10175">
        <w:rPr>
          <w:rFonts w:cs="Arial"/>
          <w:sz w:val="36"/>
          <w:szCs w:val="36"/>
        </w:rPr>
        <w:lastRenderedPageBreak/>
        <w:t xml:space="preserve">eShare </w:t>
      </w:r>
      <w:r w:rsidR="002A380F">
        <w:rPr>
          <w:rFonts w:cs="Arial"/>
          <w:sz w:val="36"/>
          <w:szCs w:val="36"/>
        </w:rPr>
        <w:t>Payment (ESP)</w:t>
      </w:r>
      <w:bookmarkEnd w:id="2"/>
    </w:p>
    <w:p w:rsidR="00302E73" w:rsidRPr="00384CB2" w:rsidRDefault="00302E73" w:rsidP="00302E73">
      <w:pPr>
        <w:rPr>
          <w:rFonts w:cs="Arial"/>
        </w:rPr>
      </w:pPr>
    </w:p>
    <w:p w:rsidR="00302E73" w:rsidRDefault="002A380F" w:rsidP="00302E73">
      <w:pPr>
        <w:rPr>
          <w:rFonts w:cs="Arial"/>
        </w:rPr>
      </w:pPr>
      <w:r>
        <w:rPr>
          <w:rFonts w:cs="Arial"/>
        </w:rPr>
        <w:t xml:space="preserve">eShare </w:t>
      </w:r>
      <w:r w:rsidR="00A82109">
        <w:rPr>
          <w:rFonts w:cs="Arial"/>
        </w:rPr>
        <w:t>P</w:t>
      </w:r>
      <w:r>
        <w:rPr>
          <w:rFonts w:cs="Arial"/>
        </w:rPr>
        <w:t>ayment</w:t>
      </w:r>
      <w:r w:rsidR="00A82109">
        <w:rPr>
          <w:rFonts w:cs="Arial"/>
        </w:rPr>
        <w:t xml:space="preserve"> (ESP)</w:t>
      </w:r>
      <w:r>
        <w:rPr>
          <w:rFonts w:cs="Arial"/>
        </w:rPr>
        <w:t xml:space="preserve"> is another kind of payment that allows Brokers to pay their investors through </w:t>
      </w:r>
      <w:r w:rsidR="00A82109">
        <w:rPr>
          <w:rFonts w:cs="Arial"/>
        </w:rPr>
        <w:t xml:space="preserve">existing </w:t>
      </w:r>
      <w:r>
        <w:rPr>
          <w:rFonts w:cs="Arial"/>
        </w:rPr>
        <w:t>MEPS IBG Platform.</w:t>
      </w:r>
      <w:r w:rsidR="00A82109">
        <w:rPr>
          <w:rFonts w:cs="Arial"/>
        </w:rPr>
        <w:t xml:space="preserve"> </w:t>
      </w:r>
    </w:p>
    <w:p w:rsidR="002A380F" w:rsidRDefault="002A380F" w:rsidP="00302E73">
      <w:pPr>
        <w:rPr>
          <w:rFonts w:cs="Arial"/>
        </w:rPr>
      </w:pPr>
    </w:p>
    <w:p w:rsidR="002A380F" w:rsidRPr="001305B4" w:rsidRDefault="002A380F" w:rsidP="002A380F">
      <w:pPr>
        <w:pStyle w:val="Heading2"/>
        <w:rPr>
          <w:sz w:val="28"/>
          <w:szCs w:val="28"/>
        </w:rPr>
      </w:pPr>
      <w:bookmarkStart w:id="3" w:name="_Toc263751623"/>
      <w:r w:rsidRPr="001305B4">
        <w:rPr>
          <w:sz w:val="28"/>
          <w:szCs w:val="28"/>
        </w:rPr>
        <w:t>KFH Online (BIB):</w:t>
      </w:r>
      <w:bookmarkEnd w:id="3"/>
    </w:p>
    <w:p w:rsidR="00A82109" w:rsidRDefault="00A82109" w:rsidP="00A82109">
      <w:r>
        <w:t>Brokers transaction to pay on eShare is more referred to Business Internet Banking (BIB). BIB has the capacity to make payment in high value and volume, especially using Bulk Payment.</w:t>
      </w:r>
    </w:p>
    <w:p w:rsidR="00A82109" w:rsidRPr="00A82109" w:rsidRDefault="00A82109" w:rsidP="00A82109"/>
    <w:p w:rsidR="002A380F" w:rsidRDefault="002A380F" w:rsidP="002A380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2A380F">
        <w:rPr>
          <w:rFonts w:ascii="Arial" w:hAnsi="Arial" w:cs="Arial"/>
          <w:sz w:val="20"/>
          <w:szCs w:val="20"/>
        </w:rPr>
        <w:t xml:space="preserve">KFH Online </w:t>
      </w:r>
      <w:r>
        <w:rPr>
          <w:rFonts w:ascii="Arial" w:hAnsi="Arial" w:cs="Arial"/>
          <w:sz w:val="20"/>
          <w:szCs w:val="20"/>
        </w:rPr>
        <w:t>to provide a tagging for customer to tag the transaction as eShare Payment.</w:t>
      </w:r>
    </w:p>
    <w:p w:rsidR="002A380F" w:rsidRDefault="002A380F" w:rsidP="002A380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tagging would be similar to ID Validation using check box.</w:t>
      </w:r>
    </w:p>
    <w:p w:rsidR="002A380F" w:rsidRDefault="002A380F" w:rsidP="002A380F">
      <w:pPr>
        <w:pStyle w:val="ListParagraph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tagging will also applied for BULK Payment. Customer may pay the eShare </w:t>
      </w:r>
      <w:r w:rsidR="00831EF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ayment in a bulk mode, thus allowi</w:t>
      </w:r>
      <w:r w:rsidR="00831EF4">
        <w:rPr>
          <w:rFonts w:ascii="Arial" w:hAnsi="Arial" w:cs="Arial"/>
          <w:sz w:val="20"/>
          <w:szCs w:val="20"/>
        </w:rPr>
        <w:t>ng such facility to be included as well.</w:t>
      </w:r>
    </w:p>
    <w:p w:rsidR="002A380F" w:rsidRPr="00A82109" w:rsidRDefault="002A380F" w:rsidP="00A82109">
      <w:pPr>
        <w:rPr>
          <w:rFonts w:cs="Arial"/>
          <w:szCs w:val="20"/>
        </w:rPr>
      </w:pPr>
    </w:p>
    <w:p w:rsidR="00FF05AA" w:rsidRPr="001305B4" w:rsidRDefault="00A82109" w:rsidP="00FF05AA">
      <w:pPr>
        <w:pStyle w:val="Heading2"/>
        <w:rPr>
          <w:rFonts w:cs="Arial"/>
          <w:sz w:val="28"/>
          <w:szCs w:val="28"/>
        </w:rPr>
      </w:pPr>
      <w:bookmarkStart w:id="4" w:name="_Toc263751624"/>
      <w:r w:rsidRPr="001305B4">
        <w:rPr>
          <w:rFonts w:cs="Arial"/>
          <w:sz w:val="28"/>
          <w:szCs w:val="28"/>
        </w:rPr>
        <w:t>IBG Core</w:t>
      </w:r>
      <w:r w:rsidR="000224D9" w:rsidRPr="001305B4">
        <w:rPr>
          <w:rFonts w:cs="Arial"/>
          <w:sz w:val="28"/>
          <w:szCs w:val="28"/>
        </w:rPr>
        <w:t xml:space="preserve"> and Payswitch</w:t>
      </w:r>
      <w:r w:rsidR="00FF05AA" w:rsidRPr="001305B4">
        <w:rPr>
          <w:rFonts w:cs="Arial"/>
          <w:sz w:val="28"/>
          <w:szCs w:val="28"/>
        </w:rPr>
        <w:t>:</w:t>
      </w:r>
      <w:bookmarkEnd w:id="4"/>
    </w:p>
    <w:p w:rsidR="000224D9" w:rsidRDefault="00A82109" w:rsidP="00D47B0E">
      <w:pPr>
        <w:rPr>
          <w:rFonts w:cs="Arial"/>
        </w:rPr>
      </w:pPr>
      <w:r>
        <w:rPr>
          <w:rFonts w:cs="Arial"/>
        </w:rPr>
        <w:t xml:space="preserve">ESP requires a change in the </w:t>
      </w:r>
      <w:r w:rsidR="00861102">
        <w:rPr>
          <w:rFonts w:cs="Arial"/>
        </w:rPr>
        <w:t>Window 1</w:t>
      </w:r>
      <w:r>
        <w:rPr>
          <w:rFonts w:cs="Arial"/>
        </w:rPr>
        <w:t xml:space="preserve"> time</w:t>
      </w:r>
      <w:r w:rsidR="00861102">
        <w:rPr>
          <w:rFonts w:cs="Arial"/>
        </w:rPr>
        <w:t xml:space="preserve"> and the introduction of new Segment Code, code 6. </w:t>
      </w:r>
      <w:r w:rsidR="000224D9">
        <w:rPr>
          <w:rFonts w:cs="Arial"/>
        </w:rPr>
        <w:t>The followings are the general rules to be applied:</w:t>
      </w:r>
    </w:p>
    <w:p w:rsidR="000224D9" w:rsidRDefault="000224D9" w:rsidP="00D47B0E">
      <w:pPr>
        <w:rPr>
          <w:rFonts w:cs="Arial"/>
        </w:rPr>
      </w:pPr>
    </w:p>
    <w:p w:rsidR="000224D9" w:rsidRPr="000224D9" w:rsidRDefault="00861102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224D9">
        <w:rPr>
          <w:rFonts w:ascii="Arial" w:hAnsi="Arial" w:cs="Arial"/>
          <w:sz w:val="20"/>
          <w:szCs w:val="20"/>
        </w:rPr>
        <w:t>The changes in Window timing requires a change in the file processing at IBG Core</w:t>
      </w:r>
      <w:r w:rsidR="000224D9" w:rsidRPr="000224D9">
        <w:rPr>
          <w:rFonts w:ascii="Arial" w:hAnsi="Arial" w:cs="Arial"/>
          <w:sz w:val="20"/>
          <w:szCs w:val="20"/>
        </w:rPr>
        <w:t>.</w:t>
      </w:r>
      <w:r w:rsidR="00ED0255">
        <w:rPr>
          <w:rFonts w:ascii="Arial" w:hAnsi="Arial" w:cs="Arial"/>
          <w:sz w:val="20"/>
          <w:szCs w:val="20"/>
        </w:rPr>
        <w:t xml:space="preserve"> </w:t>
      </w:r>
      <w:r w:rsidR="00ED0255" w:rsidRPr="00ED0255">
        <w:rPr>
          <w:rFonts w:ascii="Arial" w:hAnsi="Arial" w:cs="Arial"/>
          <w:sz w:val="20"/>
          <w:szCs w:val="20"/>
        </w:rPr>
        <w:t>The processing time can be changed/maintained using Corus.</w:t>
      </w:r>
    </w:p>
    <w:p w:rsidR="00861102" w:rsidRDefault="00861102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0224D9">
        <w:rPr>
          <w:rFonts w:ascii="Arial" w:hAnsi="Arial" w:cs="Arial"/>
          <w:sz w:val="20"/>
          <w:szCs w:val="20"/>
        </w:rPr>
        <w:t>While at Payswitch, the scheduler to send file to MEPS and receive file from MEPS also requires to be amended.</w:t>
      </w:r>
    </w:p>
    <w:p w:rsidR="000224D9" w:rsidRDefault="000224D9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Window 1 </w:t>
      </w:r>
      <w:r w:rsidR="00ED0255">
        <w:rPr>
          <w:rFonts w:ascii="Arial" w:hAnsi="Arial" w:cs="Arial"/>
          <w:sz w:val="20"/>
          <w:szCs w:val="20"/>
        </w:rPr>
        <w:t>latest timing</w:t>
      </w:r>
      <w:r>
        <w:rPr>
          <w:rFonts w:ascii="Arial" w:hAnsi="Arial" w:cs="Arial"/>
          <w:sz w:val="20"/>
          <w:szCs w:val="20"/>
        </w:rPr>
        <w:t xml:space="preserve"> for OFI to send to MEPS is brought earlier to 9.15am instead of 10.00am. No extension time is allowed.</w:t>
      </w:r>
    </w:p>
    <w:p w:rsidR="000224D9" w:rsidRDefault="000224D9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for Window 1 for MEPS to make the Distribution file available for RFI is also brought earlier to 10.30am, instead of 11.15am.</w:t>
      </w:r>
    </w:p>
    <w:p w:rsidR="000414CA" w:rsidRDefault="000414CA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RFI must be able to return to OFI at T+1 Window 1. Any ESP return beyond T+1 Window 1, both FIs must manage outside from the system.</w:t>
      </w:r>
    </w:p>
    <w:p w:rsidR="002910ED" w:rsidRDefault="002910ED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receiving Return ESP transaction, OFI is responsible to inform Brokers on the Returned status by 12.00pm.</w:t>
      </w:r>
    </w:p>
    <w:p w:rsidR="00337368" w:rsidRDefault="00337368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2</w:t>
      </w:r>
      <w:r w:rsidRPr="00337368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validation for ESP will only appl</w:t>
      </w:r>
      <w:r w:rsidR="00417570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to Current &amp; Savings Account only (CASA). While 2</w:t>
      </w:r>
      <w:r w:rsidRPr="00337368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validation for non-ESP remain unchanged.</w:t>
      </w:r>
    </w:p>
    <w:p w:rsidR="00ED0255" w:rsidRDefault="00ED0255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Upon receiving transaction with ESP tagging, system must be able to insert the Code 6 in the Segment Code for NACHA File OFI.</w:t>
      </w:r>
    </w:p>
    <w:p w:rsidR="00ED0255" w:rsidRDefault="00ED0255" w:rsidP="000414CA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While for RFI case, the Code 6 received has no different</w:t>
      </w:r>
      <w:r w:rsidR="008624B6">
        <w:rPr>
          <w:rFonts w:ascii="Arial" w:hAnsi="Arial" w:cs="Arial"/>
          <w:sz w:val="20"/>
          <w:szCs w:val="20"/>
        </w:rPr>
        <w:t>/changes</w:t>
      </w:r>
      <w:r>
        <w:rPr>
          <w:rFonts w:ascii="Arial" w:hAnsi="Arial" w:cs="Arial"/>
          <w:sz w:val="20"/>
          <w:szCs w:val="20"/>
        </w:rPr>
        <w:t xml:space="preserve"> in processing.</w:t>
      </w:r>
    </w:p>
    <w:p w:rsidR="002910ED" w:rsidRDefault="002910ED" w:rsidP="002910ED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B27B73" w:rsidRDefault="00B27B73">
      <w:pPr>
        <w:widowControl/>
        <w:spacing w:after="200" w:line="276" w:lineRule="auto"/>
        <w:jc w:val="left"/>
        <w:rPr>
          <w:rFonts w:cs="Arial"/>
        </w:rPr>
      </w:pPr>
      <w:r>
        <w:rPr>
          <w:rFonts w:cs="Arial"/>
        </w:rPr>
        <w:br w:type="page"/>
      </w:r>
    </w:p>
    <w:p w:rsidR="00D47B0E" w:rsidRPr="00C31F6E" w:rsidRDefault="00C31F6E" w:rsidP="00603293">
      <w:pPr>
        <w:spacing w:after="200" w:line="360" w:lineRule="auto"/>
        <w:rPr>
          <w:rFonts w:cs="Arial"/>
          <w:b/>
        </w:rPr>
      </w:pPr>
      <w:r w:rsidRPr="00C31F6E">
        <w:rPr>
          <w:rFonts w:cs="Arial"/>
          <w:b/>
        </w:rPr>
        <w:lastRenderedPageBreak/>
        <w:t>New MEPS Window 1 Timing:</w:t>
      </w:r>
    </w:p>
    <w:tbl>
      <w:tblPr>
        <w:tblStyle w:val="MediumGrid3-Accent6"/>
        <w:tblW w:w="0" w:type="auto"/>
        <w:tblLook w:val="04A0"/>
      </w:tblPr>
      <w:tblGrid>
        <w:gridCol w:w="534"/>
        <w:gridCol w:w="3006"/>
        <w:gridCol w:w="1771"/>
        <w:gridCol w:w="1771"/>
        <w:gridCol w:w="1771"/>
      </w:tblGrid>
      <w:tr w:rsidR="00C31F6E" w:rsidRPr="00861102" w:rsidTr="0006769F">
        <w:trPr>
          <w:cnfStyle w:val="100000000000"/>
          <w:trHeight w:val="371"/>
        </w:trPr>
        <w:tc>
          <w:tcPr>
            <w:cnfStyle w:val="001000000000"/>
            <w:tcW w:w="534" w:type="dxa"/>
            <w:vAlign w:val="center"/>
          </w:tcPr>
          <w:p w:rsidR="00C31F6E" w:rsidRPr="00861102" w:rsidRDefault="00C31F6E" w:rsidP="0006769F">
            <w:pPr>
              <w:jc w:val="center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3006" w:type="dxa"/>
            <w:vAlign w:val="center"/>
          </w:tcPr>
          <w:p w:rsidR="00C31F6E" w:rsidRPr="00861102" w:rsidRDefault="00C31F6E" w:rsidP="0006769F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Files</w:t>
            </w:r>
          </w:p>
        </w:tc>
        <w:tc>
          <w:tcPr>
            <w:tcW w:w="1771" w:type="dxa"/>
            <w:vAlign w:val="center"/>
          </w:tcPr>
          <w:p w:rsidR="00C31F6E" w:rsidRPr="00861102" w:rsidRDefault="00C31F6E" w:rsidP="0006769F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Existing Time</w:t>
            </w:r>
          </w:p>
        </w:tc>
        <w:tc>
          <w:tcPr>
            <w:tcW w:w="1771" w:type="dxa"/>
            <w:vAlign w:val="center"/>
          </w:tcPr>
          <w:p w:rsidR="00C31F6E" w:rsidRPr="00C31F6E" w:rsidRDefault="00C31F6E" w:rsidP="0006769F">
            <w:pPr>
              <w:jc w:val="center"/>
              <w:cnfStyle w:val="100000000000"/>
              <w:rPr>
                <w:rFonts w:cs="Arial"/>
                <w:color w:val="auto"/>
                <w:szCs w:val="20"/>
                <w:highlight w:val="yellow"/>
              </w:rPr>
            </w:pPr>
            <w:r w:rsidRPr="00C31F6E">
              <w:rPr>
                <w:rFonts w:cs="Arial"/>
                <w:color w:val="auto"/>
                <w:szCs w:val="20"/>
                <w:highlight w:val="yellow"/>
              </w:rPr>
              <w:t>New Time</w:t>
            </w:r>
          </w:p>
        </w:tc>
        <w:tc>
          <w:tcPr>
            <w:tcW w:w="1771" w:type="dxa"/>
            <w:vAlign w:val="center"/>
          </w:tcPr>
          <w:p w:rsidR="00C31F6E" w:rsidRPr="00861102" w:rsidRDefault="00C31F6E" w:rsidP="0006769F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Remarks</w:t>
            </w:r>
          </w:p>
        </w:tc>
      </w:tr>
      <w:tr w:rsidR="00C31F6E" w:rsidRPr="00861102" w:rsidTr="0006769F">
        <w:trPr>
          <w:cnfStyle w:val="000000100000"/>
        </w:trPr>
        <w:tc>
          <w:tcPr>
            <w:cnfStyle w:val="001000000000"/>
            <w:tcW w:w="534" w:type="dxa"/>
          </w:tcPr>
          <w:p w:rsidR="00C31F6E" w:rsidRPr="00861102" w:rsidRDefault="00C31F6E" w:rsidP="0006769F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1</w:t>
            </w:r>
          </w:p>
        </w:tc>
        <w:tc>
          <w:tcPr>
            <w:tcW w:w="3006" w:type="dxa"/>
          </w:tcPr>
          <w:p w:rsidR="00C31F6E" w:rsidRPr="00861102" w:rsidRDefault="00C31F6E" w:rsidP="00C31F6E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Collection File Window 1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10.00am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9.15am</w:t>
            </w:r>
          </w:p>
        </w:tc>
        <w:tc>
          <w:tcPr>
            <w:tcW w:w="1771" w:type="dxa"/>
          </w:tcPr>
          <w:p w:rsidR="00C31F6E" w:rsidRPr="00861102" w:rsidRDefault="000224D9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extension time is allowed.</w:t>
            </w:r>
          </w:p>
        </w:tc>
      </w:tr>
      <w:tr w:rsidR="00C31F6E" w:rsidRPr="00861102" w:rsidTr="0006769F">
        <w:tc>
          <w:tcPr>
            <w:cnfStyle w:val="001000000000"/>
            <w:tcW w:w="534" w:type="dxa"/>
          </w:tcPr>
          <w:p w:rsidR="00C31F6E" w:rsidRPr="00861102" w:rsidRDefault="00C31F6E" w:rsidP="0006769F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2</w:t>
            </w:r>
          </w:p>
        </w:tc>
        <w:tc>
          <w:tcPr>
            <w:tcW w:w="3006" w:type="dxa"/>
          </w:tcPr>
          <w:p w:rsidR="00C31F6E" w:rsidRPr="00861102" w:rsidRDefault="00C31F6E" w:rsidP="00C31F6E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Collection File Window 2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01.00pm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  <w:tr w:rsidR="00C31F6E" w:rsidRPr="00861102" w:rsidTr="0006769F">
        <w:trPr>
          <w:cnfStyle w:val="000000100000"/>
        </w:trPr>
        <w:tc>
          <w:tcPr>
            <w:cnfStyle w:val="001000000000"/>
            <w:tcW w:w="534" w:type="dxa"/>
          </w:tcPr>
          <w:p w:rsidR="00C31F6E" w:rsidRPr="00861102" w:rsidRDefault="00C31F6E" w:rsidP="0006769F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3</w:t>
            </w:r>
          </w:p>
        </w:tc>
        <w:tc>
          <w:tcPr>
            <w:tcW w:w="3006" w:type="dxa"/>
          </w:tcPr>
          <w:p w:rsidR="00C31F6E" w:rsidRPr="00861102" w:rsidRDefault="00C31F6E" w:rsidP="0006769F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Distribution File Window 1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11.15am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10.30am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31F6E" w:rsidRPr="00861102" w:rsidTr="0006769F">
        <w:tc>
          <w:tcPr>
            <w:cnfStyle w:val="001000000000"/>
            <w:tcW w:w="534" w:type="dxa"/>
          </w:tcPr>
          <w:p w:rsidR="00C31F6E" w:rsidRPr="00861102" w:rsidRDefault="00C31F6E" w:rsidP="0006769F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4</w:t>
            </w:r>
          </w:p>
        </w:tc>
        <w:tc>
          <w:tcPr>
            <w:tcW w:w="3006" w:type="dxa"/>
          </w:tcPr>
          <w:p w:rsidR="00C31F6E" w:rsidRPr="00861102" w:rsidRDefault="00C31F6E" w:rsidP="0006769F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Distribution File Window 2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02.15pm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</w:tbl>
    <w:p w:rsidR="00B27B73" w:rsidRDefault="00B27B73" w:rsidP="00603293">
      <w:pPr>
        <w:spacing w:after="200" w:line="360" w:lineRule="auto"/>
        <w:rPr>
          <w:rFonts w:cs="Arial"/>
          <w:b/>
        </w:rPr>
      </w:pPr>
    </w:p>
    <w:p w:rsidR="00861102" w:rsidRPr="00861102" w:rsidRDefault="00861102" w:rsidP="00603293">
      <w:pPr>
        <w:spacing w:after="200" w:line="360" w:lineRule="auto"/>
        <w:rPr>
          <w:rFonts w:cs="Arial"/>
          <w:b/>
        </w:rPr>
      </w:pPr>
      <w:r w:rsidRPr="00861102">
        <w:rPr>
          <w:rFonts w:cs="Arial"/>
          <w:b/>
        </w:rPr>
        <w:t>CORUS</w:t>
      </w:r>
      <w:r>
        <w:rPr>
          <w:rFonts w:cs="Arial"/>
          <w:b/>
        </w:rPr>
        <w:t>:</w:t>
      </w:r>
    </w:p>
    <w:tbl>
      <w:tblPr>
        <w:tblStyle w:val="MediumGrid3-Accent6"/>
        <w:tblW w:w="0" w:type="auto"/>
        <w:tblLook w:val="04A0"/>
      </w:tblPr>
      <w:tblGrid>
        <w:gridCol w:w="534"/>
        <w:gridCol w:w="3006"/>
        <w:gridCol w:w="1771"/>
        <w:gridCol w:w="1771"/>
        <w:gridCol w:w="1771"/>
      </w:tblGrid>
      <w:tr w:rsidR="00861102" w:rsidRPr="00861102" w:rsidTr="00861102">
        <w:trPr>
          <w:cnfStyle w:val="100000000000"/>
          <w:trHeight w:val="371"/>
        </w:trPr>
        <w:tc>
          <w:tcPr>
            <w:cnfStyle w:val="001000000000"/>
            <w:tcW w:w="534" w:type="dxa"/>
            <w:vAlign w:val="center"/>
          </w:tcPr>
          <w:p w:rsidR="00861102" w:rsidRPr="00861102" w:rsidRDefault="00861102" w:rsidP="00861102">
            <w:pPr>
              <w:jc w:val="center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3006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Processes</w:t>
            </w:r>
          </w:p>
        </w:tc>
        <w:tc>
          <w:tcPr>
            <w:tcW w:w="1771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Existing Time</w:t>
            </w:r>
          </w:p>
        </w:tc>
        <w:tc>
          <w:tcPr>
            <w:tcW w:w="1771" w:type="dxa"/>
            <w:vAlign w:val="center"/>
          </w:tcPr>
          <w:p w:rsidR="00861102" w:rsidRPr="00C31F6E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  <w:highlight w:val="yellow"/>
              </w:rPr>
            </w:pPr>
            <w:r w:rsidRPr="00C31F6E">
              <w:rPr>
                <w:rFonts w:cs="Arial"/>
                <w:color w:val="auto"/>
                <w:szCs w:val="20"/>
                <w:highlight w:val="yellow"/>
              </w:rPr>
              <w:t>New Time</w:t>
            </w:r>
          </w:p>
        </w:tc>
        <w:tc>
          <w:tcPr>
            <w:tcW w:w="1771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Remarks</w:t>
            </w:r>
          </w:p>
        </w:tc>
      </w:tr>
      <w:tr w:rsidR="00861102" w:rsidRPr="00861102" w:rsidTr="00861102">
        <w:trPr>
          <w:cnfStyle w:val="000000100000"/>
        </w:trPr>
        <w:tc>
          <w:tcPr>
            <w:cnfStyle w:val="001000000000"/>
            <w:tcW w:w="534" w:type="dxa"/>
          </w:tcPr>
          <w:p w:rsidR="00861102" w:rsidRPr="00861102" w:rsidRDefault="00861102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1</w:t>
            </w:r>
          </w:p>
        </w:tc>
        <w:tc>
          <w:tcPr>
            <w:tcW w:w="3006" w:type="dxa"/>
          </w:tcPr>
          <w:p w:rsidR="00861102" w:rsidRPr="00861102" w:rsidRDefault="00861102" w:rsidP="00861102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 Nacha File Generation Window 1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861102">
              <w:rPr>
                <w:rFonts w:cs="Arial"/>
                <w:szCs w:val="20"/>
              </w:rPr>
              <w:t>8.00am</w:t>
            </w:r>
          </w:p>
        </w:tc>
        <w:tc>
          <w:tcPr>
            <w:tcW w:w="1771" w:type="dxa"/>
          </w:tcPr>
          <w:p w:rsidR="00861102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07.30am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31F6E" w:rsidRPr="00861102" w:rsidTr="00861102">
        <w:tc>
          <w:tcPr>
            <w:cnfStyle w:val="001000000000"/>
            <w:tcW w:w="534" w:type="dxa"/>
          </w:tcPr>
          <w:p w:rsidR="00C31F6E" w:rsidRPr="00861102" w:rsidRDefault="00C31F6E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2</w:t>
            </w:r>
          </w:p>
        </w:tc>
        <w:tc>
          <w:tcPr>
            <w:tcW w:w="3006" w:type="dxa"/>
          </w:tcPr>
          <w:p w:rsidR="00C31F6E" w:rsidRPr="00861102" w:rsidRDefault="00C31F6E" w:rsidP="00861102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 Nacha File Generation Window 2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12.00pm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  <w:tr w:rsidR="00861102" w:rsidRPr="00861102" w:rsidTr="00861102">
        <w:trPr>
          <w:cnfStyle w:val="000000100000"/>
        </w:trPr>
        <w:tc>
          <w:tcPr>
            <w:cnfStyle w:val="001000000000"/>
            <w:tcW w:w="534" w:type="dxa"/>
          </w:tcPr>
          <w:p w:rsidR="00861102" w:rsidRPr="00861102" w:rsidRDefault="00861102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3</w:t>
            </w:r>
          </w:p>
        </w:tc>
        <w:tc>
          <w:tcPr>
            <w:tcW w:w="3006" w:type="dxa"/>
          </w:tcPr>
          <w:p w:rsidR="00861102" w:rsidRPr="00861102" w:rsidRDefault="00861102" w:rsidP="00861102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RFI Nacha File Processing Window 1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11.45am</w:t>
            </w:r>
          </w:p>
        </w:tc>
        <w:tc>
          <w:tcPr>
            <w:tcW w:w="1771" w:type="dxa"/>
          </w:tcPr>
          <w:p w:rsidR="00861102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11.00am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--</w:t>
            </w:r>
          </w:p>
        </w:tc>
      </w:tr>
      <w:tr w:rsidR="00C31F6E" w:rsidRPr="00861102" w:rsidTr="00861102">
        <w:tc>
          <w:tcPr>
            <w:cnfStyle w:val="001000000000"/>
            <w:tcW w:w="534" w:type="dxa"/>
          </w:tcPr>
          <w:p w:rsidR="00C31F6E" w:rsidRPr="00861102" w:rsidRDefault="00C31F6E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4</w:t>
            </w:r>
          </w:p>
        </w:tc>
        <w:tc>
          <w:tcPr>
            <w:tcW w:w="3006" w:type="dxa"/>
          </w:tcPr>
          <w:p w:rsidR="00C31F6E" w:rsidRPr="00861102" w:rsidRDefault="00C31F6E" w:rsidP="00861102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RFI Nacha File Processing Window 2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02.45pm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</w:tbl>
    <w:p w:rsidR="00FF05AA" w:rsidRDefault="00FF05AA" w:rsidP="00861102">
      <w:pPr>
        <w:rPr>
          <w:rFonts w:cs="Arial"/>
          <w:sz w:val="28"/>
          <w:szCs w:val="28"/>
        </w:rPr>
      </w:pPr>
    </w:p>
    <w:p w:rsidR="00861102" w:rsidRDefault="00861102" w:rsidP="00861102">
      <w:pPr>
        <w:rPr>
          <w:rFonts w:cs="Arial"/>
          <w:b/>
          <w:szCs w:val="20"/>
        </w:rPr>
      </w:pPr>
      <w:r w:rsidRPr="00861102">
        <w:rPr>
          <w:rFonts w:cs="Arial"/>
          <w:b/>
          <w:szCs w:val="20"/>
        </w:rPr>
        <w:t>Payswitch:</w:t>
      </w:r>
    </w:p>
    <w:p w:rsidR="007C2743" w:rsidRDefault="007C2743" w:rsidP="00861102">
      <w:pPr>
        <w:rPr>
          <w:rFonts w:cs="Arial"/>
          <w:b/>
          <w:szCs w:val="20"/>
        </w:rPr>
      </w:pPr>
    </w:p>
    <w:tbl>
      <w:tblPr>
        <w:tblStyle w:val="MediumGrid3-Accent6"/>
        <w:tblW w:w="0" w:type="auto"/>
        <w:tblLook w:val="04A0"/>
      </w:tblPr>
      <w:tblGrid>
        <w:gridCol w:w="534"/>
        <w:gridCol w:w="3006"/>
        <w:gridCol w:w="1771"/>
        <w:gridCol w:w="1771"/>
        <w:gridCol w:w="1771"/>
      </w:tblGrid>
      <w:tr w:rsidR="00861102" w:rsidRPr="00861102" w:rsidTr="00861102">
        <w:trPr>
          <w:cnfStyle w:val="100000000000"/>
          <w:trHeight w:val="371"/>
        </w:trPr>
        <w:tc>
          <w:tcPr>
            <w:cnfStyle w:val="001000000000"/>
            <w:tcW w:w="534" w:type="dxa"/>
            <w:vAlign w:val="center"/>
          </w:tcPr>
          <w:p w:rsidR="00861102" w:rsidRPr="00861102" w:rsidRDefault="00861102" w:rsidP="00861102">
            <w:pPr>
              <w:jc w:val="center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No</w:t>
            </w:r>
          </w:p>
        </w:tc>
        <w:tc>
          <w:tcPr>
            <w:tcW w:w="3006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Processes</w:t>
            </w:r>
          </w:p>
        </w:tc>
        <w:tc>
          <w:tcPr>
            <w:tcW w:w="1771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Existing Time</w:t>
            </w:r>
          </w:p>
        </w:tc>
        <w:tc>
          <w:tcPr>
            <w:tcW w:w="1771" w:type="dxa"/>
            <w:vAlign w:val="center"/>
          </w:tcPr>
          <w:p w:rsidR="00861102" w:rsidRPr="00C31F6E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  <w:highlight w:val="yellow"/>
              </w:rPr>
            </w:pPr>
            <w:r w:rsidRPr="00C31F6E">
              <w:rPr>
                <w:rFonts w:cs="Arial"/>
                <w:color w:val="auto"/>
                <w:szCs w:val="20"/>
                <w:highlight w:val="yellow"/>
              </w:rPr>
              <w:t>New Time</w:t>
            </w:r>
          </w:p>
        </w:tc>
        <w:tc>
          <w:tcPr>
            <w:tcW w:w="1771" w:type="dxa"/>
            <w:vAlign w:val="center"/>
          </w:tcPr>
          <w:p w:rsidR="00861102" w:rsidRPr="00861102" w:rsidRDefault="00861102" w:rsidP="00861102">
            <w:pPr>
              <w:jc w:val="center"/>
              <w:cnfStyle w:val="100000000000"/>
              <w:rPr>
                <w:rFonts w:cs="Arial"/>
                <w:color w:val="auto"/>
                <w:szCs w:val="20"/>
              </w:rPr>
            </w:pPr>
            <w:r w:rsidRPr="00861102">
              <w:rPr>
                <w:rFonts w:cs="Arial"/>
                <w:color w:val="auto"/>
                <w:szCs w:val="20"/>
              </w:rPr>
              <w:t>Remarks</w:t>
            </w:r>
          </w:p>
        </w:tc>
      </w:tr>
      <w:tr w:rsidR="00861102" w:rsidRPr="00861102" w:rsidTr="00861102">
        <w:trPr>
          <w:cnfStyle w:val="000000100000"/>
        </w:trPr>
        <w:tc>
          <w:tcPr>
            <w:cnfStyle w:val="001000000000"/>
            <w:tcW w:w="534" w:type="dxa"/>
          </w:tcPr>
          <w:p w:rsidR="00861102" w:rsidRPr="00861102" w:rsidRDefault="00861102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1</w:t>
            </w:r>
          </w:p>
        </w:tc>
        <w:tc>
          <w:tcPr>
            <w:tcW w:w="3006" w:type="dxa"/>
          </w:tcPr>
          <w:p w:rsidR="00861102" w:rsidRPr="00861102" w:rsidRDefault="00861102" w:rsidP="00861102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Send File (Window 1)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08.3</w:t>
            </w:r>
            <w:r w:rsidR="00861102">
              <w:rPr>
                <w:rFonts w:cs="Arial"/>
                <w:szCs w:val="20"/>
              </w:rPr>
              <w:t>0am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08.30am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31F6E" w:rsidRPr="00861102" w:rsidTr="00861102">
        <w:tc>
          <w:tcPr>
            <w:cnfStyle w:val="001000000000"/>
            <w:tcW w:w="534" w:type="dxa"/>
          </w:tcPr>
          <w:p w:rsidR="00C31F6E" w:rsidRPr="00861102" w:rsidRDefault="00C31F6E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2</w:t>
            </w:r>
          </w:p>
        </w:tc>
        <w:tc>
          <w:tcPr>
            <w:tcW w:w="3006" w:type="dxa"/>
          </w:tcPr>
          <w:p w:rsidR="00C31F6E" w:rsidRPr="00861102" w:rsidRDefault="00C31F6E" w:rsidP="00861102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Send File (Window 2)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12.30pm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  <w:tr w:rsidR="00861102" w:rsidRPr="00861102" w:rsidTr="00861102">
        <w:trPr>
          <w:cnfStyle w:val="000000100000"/>
        </w:trPr>
        <w:tc>
          <w:tcPr>
            <w:cnfStyle w:val="001000000000"/>
            <w:tcW w:w="534" w:type="dxa"/>
          </w:tcPr>
          <w:p w:rsidR="00861102" w:rsidRPr="00861102" w:rsidRDefault="00861102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3</w:t>
            </w:r>
          </w:p>
        </w:tc>
        <w:tc>
          <w:tcPr>
            <w:tcW w:w="3006" w:type="dxa"/>
          </w:tcPr>
          <w:p w:rsidR="00861102" w:rsidRPr="00861102" w:rsidRDefault="00861102" w:rsidP="00861102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Receive File (Window 1)</w:t>
            </w:r>
          </w:p>
        </w:tc>
        <w:tc>
          <w:tcPr>
            <w:tcW w:w="1771" w:type="dxa"/>
          </w:tcPr>
          <w:p w:rsidR="00861102" w:rsidRPr="00861102" w:rsidRDefault="00861102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11.30am</w:t>
            </w:r>
          </w:p>
        </w:tc>
        <w:tc>
          <w:tcPr>
            <w:tcW w:w="1771" w:type="dxa"/>
          </w:tcPr>
          <w:p w:rsidR="00861102" w:rsidRPr="00C31F6E" w:rsidRDefault="00C31F6E" w:rsidP="00C31F6E">
            <w:pPr>
              <w:jc w:val="center"/>
              <w:cnfStyle w:val="0000001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10.45am</w:t>
            </w:r>
          </w:p>
        </w:tc>
        <w:tc>
          <w:tcPr>
            <w:tcW w:w="1771" w:type="dxa"/>
          </w:tcPr>
          <w:p w:rsidR="00861102" w:rsidRPr="00861102" w:rsidRDefault="00C31F6E" w:rsidP="00C31F6E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C31F6E" w:rsidRPr="00861102" w:rsidTr="00861102">
        <w:tc>
          <w:tcPr>
            <w:cnfStyle w:val="001000000000"/>
            <w:tcW w:w="534" w:type="dxa"/>
          </w:tcPr>
          <w:p w:rsidR="00C31F6E" w:rsidRPr="00861102" w:rsidRDefault="00C31F6E" w:rsidP="00861102">
            <w:pPr>
              <w:rPr>
                <w:rFonts w:cs="Arial"/>
                <w:b w:val="0"/>
                <w:color w:val="auto"/>
                <w:szCs w:val="20"/>
              </w:rPr>
            </w:pPr>
            <w:r w:rsidRPr="00861102">
              <w:rPr>
                <w:rFonts w:cs="Arial"/>
                <w:b w:val="0"/>
                <w:color w:val="auto"/>
                <w:szCs w:val="20"/>
              </w:rPr>
              <w:t>4</w:t>
            </w:r>
          </w:p>
        </w:tc>
        <w:tc>
          <w:tcPr>
            <w:tcW w:w="3006" w:type="dxa"/>
          </w:tcPr>
          <w:p w:rsidR="00C31F6E" w:rsidRPr="00861102" w:rsidRDefault="00C31F6E" w:rsidP="00861102">
            <w:pPr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Receive File (Window 2)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02.30pm</w:t>
            </w:r>
          </w:p>
        </w:tc>
        <w:tc>
          <w:tcPr>
            <w:tcW w:w="1771" w:type="dxa"/>
          </w:tcPr>
          <w:p w:rsidR="00C31F6E" w:rsidRPr="00C31F6E" w:rsidRDefault="00C31F6E" w:rsidP="00C31F6E">
            <w:pPr>
              <w:jc w:val="center"/>
              <w:cnfStyle w:val="000000000000"/>
              <w:rPr>
                <w:rFonts w:cs="Arial"/>
                <w:szCs w:val="20"/>
                <w:highlight w:val="yellow"/>
              </w:rPr>
            </w:pPr>
            <w:r w:rsidRPr="00C31F6E">
              <w:rPr>
                <w:rFonts w:cs="Arial"/>
                <w:szCs w:val="20"/>
                <w:highlight w:val="yellow"/>
              </w:rPr>
              <w:t>-</w:t>
            </w:r>
          </w:p>
        </w:tc>
        <w:tc>
          <w:tcPr>
            <w:tcW w:w="1771" w:type="dxa"/>
          </w:tcPr>
          <w:p w:rsidR="00C31F6E" w:rsidRPr="00861102" w:rsidRDefault="00C31F6E" w:rsidP="00C31F6E">
            <w:pPr>
              <w:jc w:val="center"/>
              <w:cnfStyle w:val="0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Unchanged</w:t>
            </w:r>
          </w:p>
        </w:tc>
      </w:tr>
    </w:tbl>
    <w:p w:rsidR="00861102" w:rsidRPr="00861102" w:rsidRDefault="00861102" w:rsidP="00861102">
      <w:pPr>
        <w:rPr>
          <w:rFonts w:cs="Arial"/>
          <w:b/>
          <w:szCs w:val="20"/>
        </w:rPr>
      </w:pPr>
    </w:p>
    <w:p w:rsidR="002910ED" w:rsidRDefault="002910ED">
      <w:pPr>
        <w:widowControl/>
        <w:spacing w:after="200" w:line="276" w:lineRule="auto"/>
        <w:jc w:val="left"/>
        <w:rPr>
          <w:rFonts w:cs="Arial"/>
          <w:szCs w:val="20"/>
        </w:rPr>
      </w:pPr>
    </w:p>
    <w:p w:rsidR="002910ED" w:rsidRDefault="002910ED" w:rsidP="002910ED">
      <w:pPr>
        <w:pStyle w:val="Heading2"/>
      </w:pPr>
      <w:bookmarkStart w:id="5" w:name="_Toc263751625"/>
      <w:r>
        <w:t>CORUS Report:</w:t>
      </w:r>
      <w:bookmarkEnd w:id="5"/>
    </w:p>
    <w:p w:rsidR="0052701C" w:rsidRDefault="002910ED">
      <w:pPr>
        <w:widowControl/>
        <w:spacing w:after="200" w:line="276" w:lineRule="auto"/>
        <w:jc w:val="left"/>
      </w:pPr>
      <w:r>
        <w:t xml:space="preserve">The existing Daily IBG Core reports require minor amendments as to cater for ESP. </w:t>
      </w:r>
    </w:p>
    <w:p w:rsidR="0052701C" w:rsidRPr="0052701C" w:rsidRDefault="0052701C" w:rsidP="0052701C">
      <w:pPr>
        <w:pStyle w:val="ListParagraph"/>
        <w:numPr>
          <w:ilvl w:val="0"/>
          <w:numId w:val="24"/>
        </w:numPr>
        <w:rPr>
          <w:u w:val="single"/>
        </w:rPr>
      </w:pPr>
      <w:r>
        <w:t xml:space="preserve">As part of the requirement need the OFI to inform Brokers on any Return ESP on T+1 by 12pm, the existing “RFI Nacha File Processing Report” need to </w:t>
      </w:r>
      <w:r w:rsidRPr="0052701C">
        <w:rPr>
          <w:u w:val="single"/>
        </w:rPr>
        <w:t xml:space="preserve">include the Segment Code. </w:t>
      </w:r>
    </w:p>
    <w:p w:rsidR="0052701C" w:rsidRDefault="0052701C" w:rsidP="0052701C">
      <w:pPr>
        <w:pStyle w:val="ListParagraph"/>
        <w:numPr>
          <w:ilvl w:val="0"/>
          <w:numId w:val="24"/>
        </w:numPr>
      </w:pPr>
      <w:r>
        <w:t>With the Segment Code included, the Bank able to retrieve the report just after RFI Nacha File Processing Window 1 completed at 11.00am.</w:t>
      </w:r>
    </w:p>
    <w:p w:rsidR="0052701C" w:rsidRDefault="0052701C">
      <w:pPr>
        <w:widowControl/>
        <w:spacing w:after="200" w:line="276" w:lineRule="auto"/>
        <w:jc w:val="left"/>
      </w:pPr>
      <w:r>
        <w:br w:type="page"/>
      </w:r>
    </w:p>
    <w:p w:rsidR="0052701C" w:rsidRDefault="0052701C" w:rsidP="0052701C"/>
    <w:p w:rsidR="002910ED" w:rsidRPr="0052701C" w:rsidRDefault="0052701C" w:rsidP="0052701C">
      <w:pPr>
        <w:rPr>
          <w:b/>
        </w:rPr>
      </w:pPr>
      <w:r w:rsidRPr="0052701C">
        <w:rPr>
          <w:b/>
        </w:rPr>
        <w:t>Existing ‘RFI Nacha File Processing Report’ :</w:t>
      </w:r>
    </w:p>
    <w:p w:rsidR="0052701C" w:rsidRDefault="0052701C" w:rsidP="0052701C">
      <w:r>
        <w:rPr>
          <w:noProof/>
          <w:lang w:eastAsia="en-US"/>
        </w:rPr>
        <w:drawing>
          <wp:inline distT="0" distB="0" distL="0" distR="0">
            <wp:extent cx="5514851" cy="2660073"/>
            <wp:effectExtent l="171450" t="133350" r="352549" b="311727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4848" t="28829" r="4876" b="2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430" cy="26627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0BF6" w:rsidRDefault="00A00BF6">
      <w:pPr>
        <w:widowControl/>
        <w:spacing w:after="200" w:line="276" w:lineRule="auto"/>
        <w:jc w:val="left"/>
      </w:pPr>
      <w:r>
        <w:br w:type="page"/>
      </w:r>
    </w:p>
    <w:p w:rsidR="00D47B0E" w:rsidRDefault="008624B6" w:rsidP="00FF05AA">
      <w:pPr>
        <w:pStyle w:val="Heading1"/>
        <w:rPr>
          <w:rFonts w:cs="Arial"/>
          <w:sz w:val="36"/>
          <w:szCs w:val="36"/>
        </w:rPr>
      </w:pPr>
      <w:bookmarkStart w:id="6" w:name="_Toc263751626"/>
      <w:r>
        <w:rPr>
          <w:rFonts w:cs="Arial"/>
          <w:sz w:val="36"/>
          <w:szCs w:val="36"/>
        </w:rPr>
        <w:lastRenderedPageBreak/>
        <w:t>New 2</w:t>
      </w:r>
      <w:r w:rsidRPr="008624B6">
        <w:rPr>
          <w:rFonts w:cs="Arial"/>
          <w:sz w:val="36"/>
          <w:szCs w:val="36"/>
          <w:vertAlign w:val="superscript"/>
        </w:rPr>
        <w:t>nd</w:t>
      </w:r>
      <w:r>
        <w:rPr>
          <w:rFonts w:cs="Arial"/>
          <w:sz w:val="36"/>
          <w:szCs w:val="36"/>
        </w:rPr>
        <w:t xml:space="preserve"> Validation Specification</w:t>
      </w:r>
      <w:bookmarkEnd w:id="6"/>
    </w:p>
    <w:p w:rsidR="008624B6" w:rsidRDefault="008624B6" w:rsidP="008624B6">
      <w:r>
        <w:t>The existing 2</w:t>
      </w:r>
      <w:r w:rsidRPr="008624B6">
        <w:rPr>
          <w:vertAlign w:val="superscript"/>
        </w:rPr>
        <w:t>nd</w:t>
      </w:r>
      <w:r>
        <w:t xml:space="preserve"> validation unable to cater another extra checking for other Segment Codes. For example, AG </w:t>
      </w:r>
      <w:r w:rsidR="00322E58">
        <w:t xml:space="preserve">EFT </w:t>
      </w:r>
      <w:r>
        <w:t>payment that carries Code 4 cannot be added with Code 5 since the position of the code in Nacha file is at the same field.</w:t>
      </w:r>
    </w:p>
    <w:p w:rsidR="00831EF4" w:rsidRDefault="00831EF4" w:rsidP="008624B6"/>
    <w:p w:rsidR="00831EF4" w:rsidRDefault="0006769F" w:rsidP="008624B6">
      <w:r>
        <w:t>MEPS requirement is to relocate the position of Code 5 to another field in Nacha file format.</w:t>
      </w:r>
    </w:p>
    <w:p w:rsidR="0006769F" w:rsidRDefault="0006769F" w:rsidP="008624B6"/>
    <w:p w:rsidR="0006769F" w:rsidRPr="0006769F" w:rsidRDefault="0006769F" w:rsidP="008624B6">
      <w:pPr>
        <w:rPr>
          <w:b/>
        </w:rPr>
      </w:pPr>
      <w:r w:rsidRPr="0006769F">
        <w:rPr>
          <w:b/>
        </w:rPr>
        <w:t>Existing Nacha file format:</w:t>
      </w:r>
    </w:p>
    <w:p w:rsidR="0006769F" w:rsidRDefault="0006769F" w:rsidP="008624B6">
      <w:r>
        <w:rPr>
          <w:noProof/>
          <w:lang w:eastAsia="en-US"/>
        </w:rPr>
        <w:drawing>
          <wp:inline distT="0" distB="0" distL="0" distR="0">
            <wp:extent cx="5202481" cy="1572340"/>
            <wp:effectExtent l="38100" t="0" r="17219" b="4660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982" t="26757" r="13255" b="3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39" cy="15842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6769F" w:rsidRDefault="0006769F" w:rsidP="008624B6">
      <w:pPr>
        <w:rPr>
          <w:b/>
        </w:rPr>
      </w:pPr>
      <w:r w:rsidRPr="0006769F">
        <w:rPr>
          <w:b/>
        </w:rPr>
        <w:t>New Revised specification:</w:t>
      </w:r>
    </w:p>
    <w:p w:rsidR="0006769F" w:rsidRDefault="0006769F" w:rsidP="0006769F">
      <w:pPr>
        <w:pStyle w:val="ListParagraph"/>
        <w:numPr>
          <w:ilvl w:val="0"/>
          <w:numId w:val="22"/>
        </w:numPr>
      </w:pPr>
      <w:r>
        <w:t>Code 5 is relocated to Position 76.</w:t>
      </w:r>
    </w:p>
    <w:p w:rsidR="0006769F" w:rsidRDefault="0006769F" w:rsidP="0006769F">
      <w:pPr>
        <w:pStyle w:val="ListParagraph"/>
        <w:numPr>
          <w:ilvl w:val="0"/>
          <w:numId w:val="22"/>
        </w:numPr>
      </w:pPr>
      <w:r>
        <w:t>Code 6 (ESP) will be placed with other Segment Code at Position 77.</w:t>
      </w:r>
    </w:p>
    <w:p w:rsidR="0006769F" w:rsidRPr="0006769F" w:rsidRDefault="0006769F" w:rsidP="0006769F">
      <w:pPr>
        <w:pStyle w:val="ListParagraph"/>
        <w:numPr>
          <w:ilvl w:val="0"/>
          <w:numId w:val="22"/>
        </w:numPr>
      </w:pPr>
      <w:r>
        <w:t xml:space="preserve">Thus it </w:t>
      </w:r>
      <w:r w:rsidR="00204E69">
        <w:t xml:space="preserve">is </w:t>
      </w:r>
      <w:r>
        <w:t>allowing other Segment Codes to combine with Code 5. For example AG EFT transaction can now combine with 2</w:t>
      </w:r>
      <w:r w:rsidRPr="0006769F">
        <w:rPr>
          <w:vertAlign w:val="superscript"/>
        </w:rPr>
        <w:t>nd</w:t>
      </w:r>
      <w:r>
        <w:t xml:space="preserve"> validation</w:t>
      </w:r>
      <w:r w:rsidR="00204E69">
        <w:t>.</w:t>
      </w:r>
    </w:p>
    <w:p w:rsidR="0006769F" w:rsidRDefault="0006769F" w:rsidP="008624B6">
      <w:r>
        <w:rPr>
          <w:noProof/>
          <w:lang w:eastAsia="en-US"/>
        </w:rPr>
        <w:drawing>
          <wp:inline distT="0" distB="0" distL="0" distR="0">
            <wp:extent cx="5467350" cy="1924493"/>
            <wp:effectExtent l="38100" t="0" r="19050" b="571057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895" cy="1924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305B4" w:rsidRDefault="001305B4">
      <w:pPr>
        <w:widowControl/>
        <w:spacing w:after="200" w:line="276" w:lineRule="auto"/>
        <w:jc w:val="left"/>
      </w:pPr>
      <w:r>
        <w:br w:type="page"/>
      </w:r>
    </w:p>
    <w:p w:rsidR="0006769F" w:rsidRDefault="0006769F" w:rsidP="008624B6"/>
    <w:p w:rsidR="001305B4" w:rsidRPr="001305B4" w:rsidRDefault="001305B4" w:rsidP="008624B6">
      <w:pPr>
        <w:rPr>
          <w:b/>
        </w:rPr>
      </w:pPr>
      <w:r w:rsidRPr="001305B4">
        <w:rPr>
          <w:b/>
        </w:rPr>
        <w:t>Sample file layout:</w:t>
      </w:r>
    </w:p>
    <w:p w:rsidR="0006769F" w:rsidRPr="008624B6" w:rsidRDefault="0006769F" w:rsidP="008624B6"/>
    <w:p w:rsidR="00FF05AA" w:rsidRPr="00384CB2" w:rsidRDefault="001305B4" w:rsidP="00D47B0E">
      <w:pPr>
        <w:rPr>
          <w:rFonts w:cs="Arial"/>
          <w:szCs w:val="20"/>
        </w:rPr>
      </w:pPr>
      <w:r>
        <w:rPr>
          <w:rFonts w:cs="Arial"/>
          <w:noProof/>
          <w:szCs w:val="20"/>
          <w:lang w:eastAsia="en-US"/>
        </w:rPr>
        <w:drawing>
          <wp:inline distT="0" distB="0" distL="0" distR="0">
            <wp:extent cx="5202481" cy="2658434"/>
            <wp:effectExtent l="171450" t="133350" r="360119" b="313366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12261" t="21622" r="14418" b="10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47" cy="2661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05AA" w:rsidRPr="009D4F7E" w:rsidRDefault="00FF05AA" w:rsidP="00D47B0E">
      <w:pPr>
        <w:rPr>
          <w:rFonts w:cs="Arial"/>
          <w:szCs w:val="20"/>
        </w:rPr>
      </w:pPr>
    </w:p>
    <w:p w:rsidR="00FF05AA" w:rsidRDefault="00B9457A" w:rsidP="00B9457A">
      <w:pPr>
        <w:pStyle w:val="Heading1"/>
        <w:rPr>
          <w:sz w:val="36"/>
          <w:szCs w:val="36"/>
        </w:rPr>
      </w:pPr>
      <w:bookmarkStart w:id="7" w:name="_Toc263751627"/>
      <w:r w:rsidRPr="00B9457A">
        <w:rPr>
          <w:sz w:val="36"/>
          <w:szCs w:val="36"/>
        </w:rPr>
        <w:t>IBG Addenda New Specifications</w:t>
      </w:r>
      <w:bookmarkEnd w:id="7"/>
    </w:p>
    <w:p w:rsidR="00B9457A" w:rsidRDefault="00B9457A" w:rsidP="00B9457A">
      <w:r>
        <w:t>The IBG Addenda new specifications are meant for Payment Information and e-Dividend. Existing payment information for IBG Transaction has no sufficient information or indicators for beneficiaries to check the payment received.</w:t>
      </w:r>
    </w:p>
    <w:p w:rsidR="00B9457A" w:rsidRDefault="00B9457A" w:rsidP="00B9457A"/>
    <w:p w:rsidR="00BB4343" w:rsidRDefault="00B9457A" w:rsidP="00B9457A">
      <w:pPr>
        <w:rPr>
          <w:b/>
        </w:rPr>
      </w:pPr>
      <w:r>
        <w:t xml:space="preserve">The payment information referred in this requirement is those available in </w:t>
      </w:r>
      <w:r w:rsidRPr="00322E58">
        <w:rPr>
          <w:b/>
        </w:rPr>
        <w:t>Addenda 2.</w:t>
      </w:r>
      <w:r w:rsidR="00BB4343">
        <w:rPr>
          <w:b/>
        </w:rPr>
        <w:t xml:space="preserve"> </w:t>
      </w:r>
    </w:p>
    <w:p w:rsidR="00B9457A" w:rsidRDefault="00517E28" w:rsidP="00B9457A">
      <w:r>
        <w:t>Addenda 2 consist</w:t>
      </w:r>
      <w:r w:rsidR="00BB4343">
        <w:t xml:space="preserve"> of the following:</w:t>
      </w:r>
    </w:p>
    <w:p w:rsidR="00BB4343" w:rsidRPr="00BB4343" w:rsidRDefault="00BB4343" w:rsidP="00B9457A">
      <w:r>
        <w:rPr>
          <w:noProof/>
          <w:lang w:eastAsia="en-US"/>
        </w:rPr>
        <w:drawing>
          <wp:inline distT="0" distB="0" distL="0" distR="0">
            <wp:extent cx="4220441" cy="2846663"/>
            <wp:effectExtent l="19050" t="0" r="865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4357" t="22961" r="31584" b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504" cy="2850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58" w:rsidRDefault="00322E58" w:rsidP="00B9457A">
      <w:pPr>
        <w:rPr>
          <w:b/>
        </w:rPr>
      </w:pPr>
    </w:p>
    <w:p w:rsidR="00322E58" w:rsidRDefault="00337C81" w:rsidP="00337C81">
      <w:pPr>
        <w:pStyle w:val="Heading2"/>
      </w:pPr>
      <w:bookmarkStart w:id="8" w:name="_Toc263751628"/>
      <w:r>
        <w:lastRenderedPageBreak/>
        <w:t>The Requirements:</w:t>
      </w:r>
      <w:bookmarkEnd w:id="8"/>
    </w:p>
    <w:p w:rsidR="00BB4343" w:rsidRDefault="00BB4343" w:rsidP="00BB4343">
      <w:r w:rsidRPr="00517E28">
        <w:rPr>
          <w:b/>
        </w:rPr>
        <w:t>IBG Core</w:t>
      </w:r>
      <w:r>
        <w:t xml:space="preserve"> is able to make sure the information available in Addenda 2 is following MEPS requirement, regardless of channel IBG transaction is created</w:t>
      </w:r>
      <w:r w:rsidR="00517E28">
        <w:t xml:space="preserve"> either from IB, OTC etc</w:t>
      </w:r>
      <w:r>
        <w:t>.</w:t>
      </w:r>
    </w:p>
    <w:p w:rsidR="00BB4343" w:rsidRPr="00BB4343" w:rsidRDefault="00BB4343" w:rsidP="00BB4343"/>
    <w:p w:rsidR="00337C81" w:rsidRPr="008D6A1B" w:rsidRDefault="00337C81" w:rsidP="00337C81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OFI must make sure that ADDENDA 2 is compulsory for ALL transactions</w:t>
      </w:r>
      <w:r w:rsidR="00BB4343" w:rsidRPr="008D6A1B">
        <w:rPr>
          <w:rFonts w:ascii="Arial" w:hAnsi="Arial" w:cs="Arial"/>
          <w:sz w:val="20"/>
          <w:szCs w:val="20"/>
        </w:rPr>
        <w:t>, and send to MEPS.</w:t>
      </w:r>
    </w:p>
    <w:p w:rsidR="00337C81" w:rsidRPr="008D6A1B" w:rsidRDefault="00BB4343" w:rsidP="00337C81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In case customer does not include the information for the following fields, OFI to default the fields with the following:</w:t>
      </w:r>
    </w:p>
    <w:p w:rsidR="00BB4343" w:rsidRPr="008D6A1B" w:rsidRDefault="00BB4343" w:rsidP="00BB4343">
      <w:pPr>
        <w:pStyle w:val="ListParagraph"/>
        <w:rPr>
          <w:rFonts w:ascii="Arial" w:hAnsi="Arial" w:cs="Arial"/>
          <w:sz w:val="20"/>
          <w:szCs w:val="20"/>
        </w:rPr>
      </w:pPr>
    </w:p>
    <w:p w:rsidR="00BB4343" w:rsidRPr="008D6A1B" w:rsidRDefault="00BB4343" w:rsidP="00BB434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If </w:t>
      </w:r>
      <w:r w:rsidRPr="008D6A1B">
        <w:rPr>
          <w:rFonts w:ascii="Arial" w:hAnsi="Arial" w:cs="Arial"/>
          <w:b/>
          <w:sz w:val="20"/>
          <w:szCs w:val="20"/>
        </w:rPr>
        <w:t>Payment Description</w:t>
      </w:r>
      <w:r w:rsidRPr="008D6A1B">
        <w:rPr>
          <w:rFonts w:ascii="Arial" w:hAnsi="Arial" w:cs="Arial"/>
          <w:sz w:val="20"/>
          <w:szCs w:val="20"/>
        </w:rPr>
        <w:t xml:space="preserve"> is blank, OFI to include the following based on the Segment Code:</w:t>
      </w:r>
    </w:p>
    <w:p w:rsidR="00BB4343" w:rsidRDefault="00BB4343" w:rsidP="00BB4343">
      <w:r>
        <w:rPr>
          <w:noProof/>
          <w:lang w:eastAsia="en-US"/>
        </w:rPr>
        <w:drawing>
          <wp:inline distT="0" distB="0" distL="0" distR="0">
            <wp:extent cx="5215428" cy="2280062"/>
            <wp:effectExtent l="19050" t="0" r="4272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6954" t="46526" r="13195" b="5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701" cy="228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43" w:rsidRDefault="00BB4343" w:rsidP="00BB4343"/>
    <w:p w:rsidR="00BB4343" w:rsidRPr="008D6A1B" w:rsidRDefault="00BB4343" w:rsidP="00BB4343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If </w:t>
      </w:r>
      <w:r w:rsidRPr="008D6A1B">
        <w:rPr>
          <w:rFonts w:ascii="Arial" w:hAnsi="Arial" w:cs="Arial"/>
          <w:b/>
          <w:sz w:val="20"/>
          <w:szCs w:val="20"/>
        </w:rPr>
        <w:t xml:space="preserve">Reference Number </w:t>
      </w:r>
      <w:r w:rsidRPr="008D6A1B">
        <w:rPr>
          <w:rFonts w:ascii="Arial" w:hAnsi="Arial" w:cs="Arial"/>
          <w:sz w:val="20"/>
          <w:szCs w:val="20"/>
        </w:rPr>
        <w:t>is blank, OFI</w:t>
      </w:r>
      <w:r w:rsidR="007C700D" w:rsidRPr="008D6A1B">
        <w:rPr>
          <w:rFonts w:ascii="Arial" w:hAnsi="Arial" w:cs="Arial"/>
          <w:sz w:val="20"/>
          <w:szCs w:val="20"/>
        </w:rPr>
        <w:t xml:space="preserve"> to default it as BLANK (spaces).</w:t>
      </w:r>
    </w:p>
    <w:p w:rsidR="00322786" w:rsidRPr="008D6A1B" w:rsidRDefault="00322786" w:rsidP="0032278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2A18C7" w:rsidRPr="008D6A1B" w:rsidRDefault="002A18C7" w:rsidP="002A18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As RFI, it is not required to validate the Payment Description and Reference Number.</w:t>
      </w:r>
    </w:p>
    <w:p w:rsidR="002A18C7" w:rsidRPr="008D6A1B" w:rsidRDefault="002A18C7" w:rsidP="002A18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As RFI, it is required to capture, store and made available the information to beneficiaries, especially in the </w:t>
      </w:r>
      <w:r w:rsidR="00621024" w:rsidRPr="008D6A1B">
        <w:rPr>
          <w:rFonts w:ascii="Arial" w:hAnsi="Arial" w:cs="Arial"/>
          <w:sz w:val="20"/>
          <w:szCs w:val="20"/>
        </w:rPr>
        <w:t>T</w:t>
      </w:r>
      <w:r w:rsidR="002114D8" w:rsidRPr="008D6A1B">
        <w:rPr>
          <w:rFonts w:ascii="Arial" w:hAnsi="Arial" w:cs="Arial"/>
          <w:sz w:val="20"/>
          <w:szCs w:val="20"/>
        </w:rPr>
        <w:t xml:space="preserve">ransaction </w:t>
      </w:r>
      <w:r w:rsidR="00621024" w:rsidRPr="008D6A1B">
        <w:rPr>
          <w:rFonts w:ascii="Arial" w:hAnsi="Arial" w:cs="Arial"/>
          <w:sz w:val="20"/>
          <w:szCs w:val="20"/>
        </w:rPr>
        <w:t>D</w:t>
      </w:r>
      <w:r w:rsidR="002114D8" w:rsidRPr="008D6A1B">
        <w:rPr>
          <w:rFonts w:ascii="Arial" w:hAnsi="Arial" w:cs="Arial"/>
          <w:sz w:val="20"/>
          <w:szCs w:val="20"/>
        </w:rPr>
        <w:t>escription</w:t>
      </w:r>
      <w:r w:rsidR="00621024" w:rsidRPr="008D6A1B">
        <w:rPr>
          <w:rFonts w:ascii="Arial" w:hAnsi="Arial" w:cs="Arial"/>
          <w:sz w:val="20"/>
          <w:szCs w:val="20"/>
        </w:rPr>
        <w:t>, available in KFH Online, Phoenix and Account Statement.</w:t>
      </w:r>
    </w:p>
    <w:p w:rsidR="002A18C7" w:rsidRPr="008D6A1B" w:rsidRDefault="002A18C7" w:rsidP="002A18C7">
      <w:pPr>
        <w:pStyle w:val="ListParagraph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The total length of Addenda 2 information </w:t>
      </w:r>
      <w:r w:rsidR="0062669B" w:rsidRPr="008D6A1B">
        <w:rPr>
          <w:rFonts w:ascii="Arial" w:hAnsi="Arial" w:cs="Arial"/>
          <w:sz w:val="20"/>
          <w:szCs w:val="20"/>
        </w:rPr>
        <w:t xml:space="preserve">to be displayed in the Transaction Description </w:t>
      </w:r>
      <w:r w:rsidRPr="008D6A1B">
        <w:rPr>
          <w:rFonts w:ascii="Arial" w:hAnsi="Arial" w:cs="Arial"/>
          <w:sz w:val="20"/>
          <w:szCs w:val="20"/>
        </w:rPr>
        <w:t xml:space="preserve">is </w:t>
      </w:r>
      <w:r w:rsidRPr="008D6A1B">
        <w:rPr>
          <w:rFonts w:ascii="Arial" w:hAnsi="Arial" w:cs="Arial"/>
          <w:b/>
          <w:sz w:val="20"/>
          <w:szCs w:val="20"/>
        </w:rPr>
        <w:t>40 characters</w:t>
      </w:r>
      <w:r w:rsidRPr="008D6A1B">
        <w:rPr>
          <w:rFonts w:ascii="Arial" w:hAnsi="Arial" w:cs="Arial"/>
          <w:sz w:val="20"/>
          <w:szCs w:val="20"/>
        </w:rPr>
        <w:t>.</w:t>
      </w:r>
    </w:p>
    <w:p w:rsidR="00454097" w:rsidRDefault="00454097">
      <w:pPr>
        <w:widowControl/>
        <w:spacing w:after="200" w:line="276" w:lineRule="auto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  <w:r>
        <w:br w:type="page"/>
      </w:r>
    </w:p>
    <w:p w:rsidR="00BB4343" w:rsidRDefault="00016370" w:rsidP="00016370">
      <w:pPr>
        <w:pStyle w:val="Heading1"/>
        <w:rPr>
          <w:sz w:val="36"/>
          <w:szCs w:val="36"/>
        </w:rPr>
      </w:pPr>
      <w:bookmarkStart w:id="9" w:name="_Toc263751629"/>
      <w:r w:rsidRPr="00016370">
        <w:rPr>
          <w:sz w:val="36"/>
          <w:szCs w:val="36"/>
        </w:rPr>
        <w:lastRenderedPageBreak/>
        <w:t>IBG Increase Limit &amp; Fee Revision</w:t>
      </w:r>
      <w:bookmarkEnd w:id="9"/>
    </w:p>
    <w:p w:rsidR="00004F3D" w:rsidRDefault="00454097" w:rsidP="00004F3D">
      <w:r>
        <w:t>Existing transaction limits for MEPS IBG outgoing &amp; incoming is capped at RM100,000.00 per transaction. This limit will be increased up to RM500,000.00 per transaction.</w:t>
      </w:r>
    </w:p>
    <w:p w:rsidR="00454097" w:rsidRDefault="00454097" w:rsidP="00004F3D">
      <w:r>
        <w:t>There will be a separate transaction charges imposed to Customer, based on the transaction amount.</w:t>
      </w:r>
    </w:p>
    <w:p w:rsidR="00454097" w:rsidRDefault="00454097" w:rsidP="00004F3D"/>
    <w:p w:rsidR="00454097" w:rsidRDefault="00454097" w:rsidP="00454097">
      <w:pPr>
        <w:pStyle w:val="Heading2"/>
      </w:pPr>
      <w:bookmarkStart w:id="10" w:name="_Toc263751630"/>
      <w:r>
        <w:t>BVMC</w:t>
      </w:r>
      <w:bookmarkEnd w:id="10"/>
    </w:p>
    <w:p w:rsidR="00454097" w:rsidRPr="008D6A1B" w:rsidRDefault="00454097" w:rsidP="00454097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Standard </w:t>
      </w:r>
      <w:r w:rsidR="00FB521B" w:rsidRPr="008D6A1B">
        <w:rPr>
          <w:rFonts w:ascii="Arial" w:hAnsi="Arial" w:cs="Arial"/>
          <w:sz w:val="20"/>
          <w:szCs w:val="20"/>
        </w:rPr>
        <w:t>C</w:t>
      </w:r>
      <w:r w:rsidRPr="008D6A1B">
        <w:rPr>
          <w:rFonts w:ascii="Arial" w:hAnsi="Arial" w:cs="Arial"/>
          <w:sz w:val="20"/>
          <w:szCs w:val="20"/>
        </w:rPr>
        <w:t xml:space="preserve">harges maintenance for Interbank GIRO (BIB Only) must be able to cater the 2 tier charges </w:t>
      </w:r>
      <w:r w:rsidR="00FB521B" w:rsidRPr="008D6A1B">
        <w:rPr>
          <w:rFonts w:ascii="Arial" w:hAnsi="Arial" w:cs="Arial"/>
          <w:sz w:val="20"/>
          <w:szCs w:val="20"/>
        </w:rPr>
        <w:t xml:space="preserve">structure </w:t>
      </w:r>
      <w:r w:rsidRPr="008D6A1B">
        <w:rPr>
          <w:rFonts w:ascii="Arial" w:hAnsi="Arial" w:cs="Arial"/>
          <w:sz w:val="20"/>
          <w:szCs w:val="20"/>
        </w:rPr>
        <w:t>as follows:</w:t>
      </w:r>
    </w:p>
    <w:p w:rsidR="00FB521B" w:rsidRPr="008D6A1B" w:rsidRDefault="00FB521B" w:rsidP="00FB521B">
      <w:pPr>
        <w:pStyle w:val="ListParagraph"/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LightGrid-Accent6"/>
        <w:tblW w:w="0" w:type="auto"/>
        <w:tblInd w:w="1413" w:type="dxa"/>
        <w:tblLook w:val="04A0"/>
      </w:tblPr>
      <w:tblGrid>
        <w:gridCol w:w="2760"/>
        <w:gridCol w:w="1889"/>
      </w:tblGrid>
      <w:tr w:rsidR="00FB521B" w:rsidRPr="008D6A1B" w:rsidTr="00FB521B">
        <w:trPr>
          <w:cnfStyle w:val="100000000000"/>
          <w:trHeight w:val="347"/>
        </w:trPr>
        <w:tc>
          <w:tcPr>
            <w:cnfStyle w:val="001000000000"/>
            <w:tcW w:w="2760" w:type="dxa"/>
          </w:tcPr>
          <w:p w:rsidR="00FB521B" w:rsidRPr="008D6A1B" w:rsidRDefault="00FB521B" w:rsidP="00FB52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6A1B">
              <w:rPr>
                <w:rFonts w:ascii="Arial" w:hAnsi="Arial" w:cs="Arial"/>
                <w:sz w:val="20"/>
                <w:szCs w:val="20"/>
              </w:rPr>
              <w:t>Transaction Amount</w:t>
            </w:r>
          </w:p>
        </w:tc>
        <w:tc>
          <w:tcPr>
            <w:tcW w:w="1889" w:type="dxa"/>
          </w:tcPr>
          <w:p w:rsidR="00FB521B" w:rsidRPr="008D6A1B" w:rsidRDefault="00FB521B" w:rsidP="00FB521B">
            <w:pPr>
              <w:pStyle w:val="ListParagraph"/>
              <w:ind w:left="0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8D6A1B">
              <w:rPr>
                <w:rFonts w:ascii="Arial" w:hAnsi="Arial" w:cs="Arial"/>
                <w:sz w:val="20"/>
                <w:szCs w:val="20"/>
              </w:rPr>
              <w:t>New Charges</w:t>
            </w:r>
          </w:p>
        </w:tc>
      </w:tr>
      <w:tr w:rsidR="00FB521B" w:rsidTr="00FB521B">
        <w:trPr>
          <w:cnfStyle w:val="000000100000"/>
        </w:trPr>
        <w:tc>
          <w:tcPr>
            <w:cnfStyle w:val="001000000000"/>
            <w:tcW w:w="2760" w:type="dxa"/>
          </w:tcPr>
          <w:p w:rsidR="00FB521B" w:rsidRDefault="00FB521B" w:rsidP="00FB521B">
            <w:pPr>
              <w:pStyle w:val="ListParagraph"/>
              <w:ind w:left="0"/>
            </w:pPr>
            <w:r>
              <w:t>Up to RM100,000</w:t>
            </w:r>
          </w:p>
        </w:tc>
        <w:tc>
          <w:tcPr>
            <w:tcW w:w="1889" w:type="dxa"/>
          </w:tcPr>
          <w:p w:rsidR="00FB521B" w:rsidRDefault="00FB521B" w:rsidP="00FB521B">
            <w:pPr>
              <w:pStyle w:val="ListParagraph"/>
              <w:ind w:left="0"/>
              <w:cnfStyle w:val="000000100000"/>
            </w:pPr>
            <w:r>
              <w:t>Max RM2.00</w:t>
            </w:r>
          </w:p>
        </w:tc>
      </w:tr>
      <w:tr w:rsidR="00FB521B" w:rsidTr="00FB521B">
        <w:trPr>
          <w:cnfStyle w:val="000000010000"/>
        </w:trPr>
        <w:tc>
          <w:tcPr>
            <w:cnfStyle w:val="001000000000"/>
            <w:tcW w:w="2760" w:type="dxa"/>
          </w:tcPr>
          <w:p w:rsidR="00FB521B" w:rsidRDefault="00FB521B" w:rsidP="00FB521B">
            <w:pPr>
              <w:pStyle w:val="ListParagraph"/>
              <w:ind w:left="0"/>
            </w:pPr>
            <w:r>
              <w:t>Above 100,000</w:t>
            </w:r>
          </w:p>
        </w:tc>
        <w:tc>
          <w:tcPr>
            <w:tcW w:w="1889" w:type="dxa"/>
          </w:tcPr>
          <w:p w:rsidR="00FB521B" w:rsidRDefault="00FB521B" w:rsidP="00FB521B">
            <w:pPr>
              <w:pStyle w:val="ListParagraph"/>
              <w:ind w:left="0"/>
              <w:cnfStyle w:val="000000010000"/>
            </w:pPr>
            <w:r>
              <w:t>Max RM3.00</w:t>
            </w:r>
          </w:p>
        </w:tc>
      </w:tr>
    </w:tbl>
    <w:p w:rsidR="00FB521B" w:rsidRDefault="00FB521B" w:rsidP="00FB521B">
      <w:pPr>
        <w:pStyle w:val="ListParagraph"/>
      </w:pPr>
    </w:p>
    <w:p w:rsidR="00454097" w:rsidRDefault="00FB521B" w:rsidP="00FB521B">
      <w:pPr>
        <w:pStyle w:val="Heading2"/>
      </w:pPr>
      <w:bookmarkStart w:id="11" w:name="_Toc263751631"/>
      <w:r>
        <w:t>CORUS</w:t>
      </w:r>
      <w:bookmarkEnd w:id="11"/>
    </w:p>
    <w:p w:rsidR="00FB521B" w:rsidRPr="008D6A1B" w:rsidRDefault="00FB521B" w:rsidP="00FB521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 xml:space="preserve">Customised Charges fee maintenance for </w:t>
      </w:r>
      <w:r w:rsidRPr="008D6A1B">
        <w:rPr>
          <w:rFonts w:ascii="Arial" w:hAnsi="Arial" w:cs="Arial"/>
          <w:b/>
          <w:sz w:val="20"/>
          <w:szCs w:val="20"/>
        </w:rPr>
        <w:t>BIB Customers</w:t>
      </w:r>
      <w:r w:rsidRPr="008D6A1B">
        <w:rPr>
          <w:rFonts w:ascii="Arial" w:hAnsi="Arial" w:cs="Arial"/>
          <w:sz w:val="20"/>
          <w:szCs w:val="20"/>
        </w:rPr>
        <w:t xml:space="preserve"> must be able to have the same 2 tier charges structure as item 5.1</w:t>
      </w:r>
    </w:p>
    <w:p w:rsidR="00D33D79" w:rsidRDefault="00D33D79" w:rsidP="00D33D79"/>
    <w:p w:rsidR="00D33D79" w:rsidRDefault="00D33D79" w:rsidP="00D33D79"/>
    <w:p w:rsidR="00D33D79" w:rsidRDefault="00D33D79" w:rsidP="00D33D79"/>
    <w:p w:rsidR="00D33D79" w:rsidRDefault="00D33D79">
      <w:pPr>
        <w:widowControl/>
        <w:spacing w:after="200" w:line="276" w:lineRule="auto"/>
        <w:jc w:val="left"/>
      </w:pPr>
      <w:r>
        <w:br w:type="page"/>
      </w:r>
    </w:p>
    <w:p w:rsidR="00D33D79" w:rsidRDefault="00D33D79" w:rsidP="00D33D79">
      <w:pPr>
        <w:pStyle w:val="Heading1"/>
      </w:pPr>
      <w:bookmarkStart w:id="12" w:name="_Toc263751632"/>
      <w:r>
        <w:lastRenderedPageBreak/>
        <w:t>AG Salary Payment</w:t>
      </w:r>
      <w:bookmarkEnd w:id="12"/>
    </w:p>
    <w:p w:rsidR="00D33D79" w:rsidRDefault="00D33D79" w:rsidP="00D33D79">
      <w:r>
        <w:t>Accountant general (AG) will utilize MEPS IBG services to pay salary for government servants. It is a mandatory for the crediting banks (of salary payment) to ensure that the salary is credited on the actual pay day as instructed by AG.</w:t>
      </w:r>
      <w:r w:rsidR="000174CE">
        <w:t xml:space="preserve"> It is not allowed for the Bank to credit earlier or late from the specified pay day.</w:t>
      </w:r>
    </w:p>
    <w:p w:rsidR="000174CE" w:rsidRDefault="000174CE" w:rsidP="00D33D79"/>
    <w:p w:rsidR="000174CE" w:rsidRDefault="000174CE" w:rsidP="00D33D79">
      <w:r>
        <w:t>As Non-AG bank, KFHMB will be acting as RFI</w:t>
      </w:r>
      <w:r w:rsidR="00857F7B">
        <w:t xml:space="preserve"> only</w:t>
      </w:r>
      <w:r>
        <w:t>.</w:t>
      </w:r>
    </w:p>
    <w:p w:rsidR="00091C71" w:rsidRDefault="00091C71" w:rsidP="00D33D79"/>
    <w:p w:rsidR="00091C71" w:rsidRDefault="00091C71" w:rsidP="00091C71">
      <w:pPr>
        <w:pStyle w:val="Heading2"/>
      </w:pPr>
      <w:bookmarkStart w:id="13" w:name="_Toc263751633"/>
      <w:r>
        <w:t>The Requirement</w:t>
      </w:r>
      <w:bookmarkEnd w:id="13"/>
    </w:p>
    <w:p w:rsidR="002142F8" w:rsidRDefault="002142F8" w:rsidP="002142F8">
      <w:r>
        <w:t xml:space="preserve">The AG Salary Pay Day will be denoted as </w:t>
      </w:r>
      <w:r w:rsidRPr="004059DA">
        <w:rPr>
          <w:b/>
        </w:rPr>
        <w:t>T+0.</w:t>
      </w:r>
    </w:p>
    <w:p w:rsidR="002142F8" w:rsidRPr="002142F8" w:rsidRDefault="002142F8" w:rsidP="002142F8"/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OFI will send the AG transaction on T-1 to MEPS.</w:t>
      </w:r>
    </w:p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MEPS will distribute the filke to RFI on T-1.</w:t>
      </w:r>
    </w:p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The AG Salary Payment will be included in the normal Nacha file, with other normal transaction.</w:t>
      </w:r>
    </w:p>
    <w:p w:rsidR="00091C71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New Segment Code, as to differentiate AG Salary Payment with other transaction, will be introduced.</w:t>
      </w:r>
    </w:p>
    <w:p w:rsidR="004059DA" w:rsidRPr="008D6A1B" w:rsidRDefault="004059DA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pay day will NOT fall on any Weekend and Public Holiday.</w:t>
      </w:r>
    </w:p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RFI to identify AG Salary Payment transaction using the Segment Code.</w:t>
      </w:r>
    </w:p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RFI to process and credit the normal transaction on T-1 as usual.</w:t>
      </w:r>
    </w:p>
    <w:p w:rsidR="00091C71" w:rsidRPr="008D6A1B" w:rsidRDefault="00091C71" w:rsidP="00091C71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8D6A1B">
        <w:rPr>
          <w:rFonts w:ascii="Arial" w:hAnsi="Arial" w:cs="Arial"/>
          <w:sz w:val="20"/>
          <w:szCs w:val="20"/>
        </w:rPr>
        <w:t>RFI to hold the crediting process for AG Salary Payment after midnight (T+0) and before 7.00am</w:t>
      </w:r>
      <w:r w:rsidR="004059DA">
        <w:rPr>
          <w:rFonts w:ascii="Arial" w:hAnsi="Arial" w:cs="Arial"/>
          <w:sz w:val="20"/>
          <w:szCs w:val="20"/>
        </w:rPr>
        <w:t xml:space="preserve"> of the pay day</w:t>
      </w:r>
      <w:r w:rsidRPr="008D6A1B">
        <w:rPr>
          <w:rFonts w:ascii="Arial" w:hAnsi="Arial" w:cs="Arial"/>
          <w:sz w:val="20"/>
          <w:szCs w:val="20"/>
        </w:rPr>
        <w:t>.</w:t>
      </w:r>
    </w:p>
    <w:tbl>
      <w:tblPr>
        <w:tblStyle w:val="LightGrid-Accent5"/>
        <w:tblW w:w="8194" w:type="dxa"/>
        <w:tblInd w:w="845" w:type="dxa"/>
        <w:tblLook w:val="04A0"/>
      </w:tblPr>
      <w:tblGrid>
        <w:gridCol w:w="1815"/>
        <w:gridCol w:w="2126"/>
        <w:gridCol w:w="1985"/>
        <w:gridCol w:w="2268"/>
      </w:tblGrid>
      <w:tr w:rsidR="002142F8" w:rsidRPr="008D6A1B" w:rsidTr="002142F8">
        <w:trPr>
          <w:cnfStyle w:val="100000000000"/>
        </w:trPr>
        <w:tc>
          <w:tcPr>
            <w:cnfStyle w:val="001000000000"/>
            <w:tcW w:w="1815" w:type="dxa"/>
            <w:vMerge w:val="restart"/>
            <w:vAlign w:val="center"/>
          </w:tcPr>
          <w:p w:rsidR="002142F8" w:rsidRPr="008D6A1B" w:rsidRDefault="002142F8" w:rsidP="002142F8">
            <w:pPr>
              <w:jc w:val="center"/>
              <w:rPr>
                <w:rFonts w:cs="Arial"/>
                <w:szCs w:val="20"/>
              </w:rPr>
            </w:pPr>
            <w:r w:rsidRPr="008D6A1B">
              <w:rPr>
                <w:rFonts w:cs="Arial"/>
                <w:szCs w:val="20"/>
              </w:rPr>
              <w:t>AG Pay Day</w:t>
            </w:r>
          </w:p>
        </w:tc>
        <w:tc>
          <w:tcPr>
            <w:tcW w:w="2126" w:type="dxa"/>
            <w:vMerge w:val="restart"/>
            <w:vAlign w:val="center"/>
          </w:tcPr>
          <w:p w:rsidR="002142F8" w:rsidRPr="008D6A1B" w:rsidRDefault="002142F8" w:rsidP="002142F8">
            <w:pPr>
              <w:jc w:val="center"/>
              <w:cnfStyle w:val="100000000000"/>
              <w:rPr>
                <w:rFonts w:cs="Arial"/>
                <w:szCs w:val="20"/>
              </w:rPr>
            </w:pPr>
            <w:r w:rsidRPr="008D6A1B">
              <w:rPr>
                <w:rFonts w:cs="Arial"/>
                <w:szCs w:val="20"/>
              </w:rPr>
              <w:t>OFI/MEPS to send file</w:t>
            </w:r>
          </w:p>
        </w:tc>
        <w:tc>
          <w:tcPr>
            <w:tcW w:w="4253" w:type="dxa"/>
            <w:gridSpan w:val="2"/>
            <w:vAlign w:val="center"/>
          </w:tcPr>
          <w:p w:rsidR="002142F8" w:rsidRPr="008D6A1B" w:rsidRDefault="002142F8" w:rsidP="002142F8">
            <w:pPr>
              <w:jc w:val="center"/>
              <w:cnfStyle w:val="100000000000"/>
              <w:rPr>
                <w:rFonts w:cs="Arial"/>
                <w:szCs w:val="20"/>
              </w:rPr>
            </w:pPr>
            <w:r w:rsidRPr="008D6A1B">
              <w:rPr>
                <w:rFonts w:cs="Arial"/>
                <w:szCs w:val="20"/>
              </w:rPr>
              <w:t>RFI to Credit</w:t>
            </w:r>
          </w:p>
        </w:tc>
      </w:tr>
      <w:tr w:rsidR="002142F8" w:rsidRPr="008D6A1B" w:rsidTr="002142F8">
        <w:trPr>
          <w:cnfStyle w:val="000000100000"/>
        </w:trPr>
        <w:tc>
          <w:tcPr>
            <w:cnfStyle w:val="001000000000"/>
            <w:tcW w:w="1815" w:type="dxa"/>
            <w:vMerge/>
          </w:tcPr>
          <w:p w:rsidR="002142F8" w:rsidRPr="008D6A1B" w:rsidRDefault="002142F8" w:rsidP="00D33D79">
            <w:pPr>
              <w:rPr>
                <w:rFonts w:cs="Arial"/>
                <w:b w:val="0"/>
                <w:szCs w:val="20"/>
              </w:rPr>
            </w:pPr>
          </w:p>
        </w:tc>
        <w:tc>
          <w:tcPr>
            <w:tcW w:w="2126" w:type="dxa"/>
            <w:vMerge/>
          </w:tcPr>
          <w:p w:rsidR="002142F8" w:rsidRPr="008D6A1B" w:rsidRDefault="002142F8" w:rsidP="00D33D79">
            <w:pPr>
              <w:cnfStyle w:val="000000100000"/>
              <w:rPr>
                <w:rFonts w:cs="Arial"/>
                <w:szCs w:val="20"/>
              </w:rPr>
            </w:pPr>
          </w:p>
        </w:tc>
        <w:tc>
          <w:tcPr>
            <w:tcW w:w="1985" w:type="dxa"/>
          </w:tcPr>
          <w:p w:rsidR="002142F8" w:rsidRPr="008D6A1B" w:rsidRDefault="002142F8" w:rsidP="002142F8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Normal</w:t>
            </w:r>
          </w:p>
        </w:tc>
        <w:tc>
          <w:tcPr>
            <w:tcW w:w="2268" w:type="dxa"/>
          </w:tcPr>
          <w:p w:rsidR="002142F8" w:rsidRPr="008D6A1B" w:rsidRDefault="002142F8" w:rsidP="002142F8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 Salary</w:t>
            </w:r>
          </w:p>
        </w:tc>
      </w:tr>
      <w:tr w:rsidR="00E3106D" w:rsidRPr="008D6A1B" w:rsidTr="002142F8">
        <w:trPr>
          <w:cnfStyle w:val="000000010000"/>
        </w:trPr>
        <w:tc>
          <w:tcPr>
            <w:cnfStyle w:val="001000000000"/>
            <w:tcW w:w="1815" w:type="dxa"/>
          </w:tcPr>
          <w:p w:rsidR="00E3106D" w:rsidRPr="008D6A1B" w:rsidRDefault="002142F8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1. </w:t>
            </w:r>
            <w:r w:rsidR="00E3106D" w:rsidRPr="008D6A1B">
              <w:rPr>
                <w:rFonts w:cs="Arial"/>
                <w:b w:val="0"/>
                <w:szCs w:val="20"/>
              </w:rPr>
              <w:t>Working Day</w:t>
            </w:r>
          </w:p>
        </w:tc>
        <w:tc>
          <w:tcPr>
            <w:tcW w:w="2126" w:type="dxa"/>
          </w:tcPr>
          <w:p w:rsidR="00E3106D" w:rsidRPr="008D6A1B" w:rsidRDefault="00E3106D" w:rsidP="002142F8">
            <w:pPr>
              <w:jc w:val="center"/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T-1</w:t>
            </w:r>
          </w:p>
        </w:tc>
        <w:tc>
          <w:tcPr>
            <w:tcW w:w="1985" w:type="dxa"/>
          </w:tcPr>
          <w:p w:rsidR="00E3106D" w:rsidRDefault="002142F8" w:rsidP="002142F8">
            <w:pPr>
              <w:jc w:val="center"/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T-1</w:t>
            </w:r>
          </w:p>
          <w:p w:rsidR="002142F8" w:rsidRPr="008D6A1B" w:rsidRDefault="002142F8" w:rsidP="002142F8">
            <w:pPr>
              <w:jc w:val="left"/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 per existing</w:t>
            </w:r>
          </w:p>
        </w:tc>
        <w:tc>
          <w:tcPr>
            <w:tcW w:w="2268" w:type="dxa"/>
          </w:tcPr>
          <w:p w:rsidR="002142F8" w:rsidRDefault="002142F8" w:rsidP="002142F8">
            <w:pPr>
              <w:jc w:val="center"/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T+0</w:t>
            </w:r>
          </w:p>
          <w:p w:rsidR="002142F8" w:rsidRPr="008D6A1B" w:rsidRDefault="002142F8" w:rsidP="002142F8">
            <w:pPr>
              <w:jc w:val="left"/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Hold and credit </w:t>
            </w:r>
            <w:r w:rsidR="002D5CA9">
              <w:rPr>
                <w:rFonts w:cs="Arial"/>
                <w:szCs w:val="20"/>
              </w:rPr>
              <w:t>at T+0 (</w:t>
            </w:r>
            <w:r>
              <w:rPr>
                <w:rFonts w:cs="Arial"/>
                <w:szCs w:val="20"/>
              </w:rPr>
              <w:t>after midnight T-1</w:t>
            </w:r>
            <w:r w:rsidR="002D5CA9">
              <w:rPr>
                <w:rFonts w:cs="Arial"/>
                <w:szCs w:val="20"/>
              </w:rPr>
              <w:t xml:space="preserve">) </w:t>
            </w:r>
            <w:r>
              <w:rPr>
                <w:rFonts w:cs="Arial"/>
                <w:szCs w:val="20"/>
              </w:rPr>
              <w:t>between 0000 until 0700.</w:t>
            </w:r>
          </w:p>
        </w:tc>
      </w:tr>
      <w:tr w:rsidR="000A4A65" w:rsidRPr="008D6A1B" w:rsidTr="002142F8">
        <w:trPr>
          <w:cnfStyle w:val="000000100000"/>
        </w:trPr>
        <w:tc>
          <w:tcPr>
            <w:cnfStyle w:val="001000000000"/>
            <w:tcW w:w="1815" w:type="dxa"/>
          </w:tcPr>
          <w:p w:rsidR="000A4A65" w:rsidRDefault="004059DA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2</w:t>
            </w:r>
            <w:r w:rsidR="000A4A65">
              <w:rPr>
                <w:rFonts w:cs="Arial"/>
                <w:b w:val="0"/>
                <w:szCs w:val="20"/>
              </w:rPr>
              <w:t>. A day after Weekend / Public Holiday</w:t>
            </w:r>
          </w:p>
        </w:tc>
        <w:tc>
          <w:tcPr>
            <w:tcW w:w="2126" w:type="dxa"/>
          </w:tcPr>
          <w:p w:rsidR="000A4A65" w:rsidRDefault="000A4A65" w:rsidP="00857F7B">
            <w:pPr>
              <w:jc w:val="center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Last working day</w:t>
            </w:r>
          </w:p>
        </w:tc>
        <w:tc>
          <w:tcPr>
            <w:tcW w:w="1985" w:type="dxa"/>
          </w:tcPr>
          <w:p w:rsidR="000A4A65" w:rsidRDefault="000A4A65" w:rsidP="00857F7B">
            <w:pPr>
              <w:jc w:val="left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as per existing</w:t>
            </w:r>
          </w:p>
        </w:tc>
        <w:tc>
          <w:tcPr>
            <w:tcW w:w="2268" w:type="dxa"/>
          </w:tcPr>
          <w:p w:rsidR="000A4A65" w:rsidRDefault="002D5CA9" w:rsidP="00857F7B">
            <w:pPr>
              <w:jc w:val="left"/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Hold and credit at T+0 between 0000 until 0700</w:t>
            </w:r>
          </w:p>
        </w:tc>
      </w:tr>
    </w:tbl>
    <w:p w:rsidR="00D33D79" w:rsidRPr="004059DA" w:rsidRDefault="004059DA" w:rsidP="00D33D79">
      <w:pPr>
        <w:rPr>
          <w:i/>
        </w:rPr>
      </w:pPr>
      <w:r w:rsidRPr="004059DA">
        <w:rPr>
          <w:i/>
        </w:rPr>
        <w:tab/>
      </w:r>
      <w:r w:rsidRPr="004059DA">
        <w:rPr>
          <w:b/>
          <w:i/>
        </w:rPr>
        <w:t>T+0</w:t>
      </w:r>
      <w:r w:rsidRPr="004059DA">
        <w:rPr>
          <w:i/>
        </w:rPr>
        <w:t xml:space="preserve"> = AG Pay Day</w:t>
      </w:r>
    </w:p>
    <w:p w:rsidR="00D33D79" w:rsidRDefault="000174CE" w:rsidP="00D33D79">
      <w:r>
        <w:t>.</w:t>
      </w:r>
    </w:p>
    <w:p w:rsidR="005D2042" w:rsidRDefault="005D2042">
      <w:pPr>
        <w:widowControl/>
        <w:spacing w:after="200" w:line="276" w:lineRule="auto"/>
        <w:jc w:val="left"/>
      </w:pPr>
      <w:r>
        <w:br w:type="page"/>
      </w:r>
    </w:p>
    <w:p w:rsidR="005D2042" w:rsidRDefault="005D2042" w:rsidP="00D33D79"/>
    <w:p w:rsidR="005D2042" w:rsidRDefault="005D2042" w:rsidP="005D2042">
      <w:pPr>
        <w:pStyle w:val="Heading1"/>
      </w:pPr>
      <w:bookmarkStart w:id="14" w:name="_Toc263751634"/>
      <w:r>
        <w:t>Timeline</w:t>
      </w:r>
      <w:bookmarkEnd w:id="14"/>
    </w:p>
    <w:p w:rsidR="005D2042" w:rsidRDefault="005D2042" w:rsidP="005D2042">
      <w:pPr>
        <w:rPr>
          <w:rFonts w:cs="Arial"/>
          <w:szCs w:val="20"/>
        </w:rPr>
      </w:pPr>
      <w:r>
        <w:rPr>
          <w:rFonts w:cs="Arial"/>
          <w:szCs w:val="20"/>
        </w:rPr>
        <w:t>Timeline for those requirements, as given by MEPS, are as per below table. Bank is required to make sure the system readiness by the timeline as it would be a applied to all member banks.</w:t>
      </w:r>
    </w:p>
    <w:p w:rsidR="005D2042" w:rsidRDefault="005D2042" w:rsidP="005D2042">
      <w:pPr>
        <w:rPr>
          <w:rFonts w:cs="Arial"/>
          <w:szCs w:val="20"/>
        </w:rPr>
      </w:pPr>
    </w:p>
    <w:tbl>
      <w:tblPr>
        <w:tblStyle w:val="LightGrid-Accent5"/>
        <w:tblW w:w="0" w:type="auto"/>
        <w:tblLook w:val="04A0"/>
      </w:tblPr>
      <w:tblGrid>
        <w:gridCol w:w="483"/>
        <w:gridCol w:w="3807"/>
        <w:gridCol w:w="2029"/>
        <w:gridCol w:w="2534"/>
      </w:tblGrid>
      <w:tr w:rsidR="005D2042" w:rsidTr="00857F7B">
        <w:trPr>
          <w:cnfStyle w:val="100000000000"/>
          <w:trHeight w:val="412"/>
        </w:trPr>
        <w:tc>
          <w:tcPr>
            <w:cnfStyle w:val="001000000000"/>
            <w:tcW w:w="483" w:type="dxa"/>
            <w:vAlign w:val="center"/>
          </w:tcPr>
          <w:p w:rsidR="005D2042" w:rsidRDefault="005D2042" w:rsidP="00857F7B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</w:t>
            </w:r>
          </w:p>
        </w:tc>
        <w:tc>
          <w:tcPr>
            <w:tcW w:w="4215" w:type="dxa"/>
            <w:vAlign w:val="center"/>
          </w:tcPr>
          <w:p w:rsidR="005D2042" w:rsidRDefault="005D2042" w:rsidP="00857F7B">
            <w:pPr>
              <w:jc w:val="center"/>
              <w:cnfStyle w:val="1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Changes</w:t>
            </w:r>
          </w:p>
        </w:tc>
        <w:tc>
          <w:tcPr>
            <w:tcW w:w="2160" w:type="dxa"/>
            <w:vAlign w:val="center"/>
          </w:tcPr>
          <w:p w:rsidR="005D2042" w:rsidRDefault="005D2042" w:rsidP="00857F7B">
            <w:pPr>
              <w:jc w:val="center"/>
              <w:cnfStyle w:val="1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Live Date</w:t>
            </w:r>
          </w:p>
        </w:tc>
        <w:tc>
          <w:tcPr>
            <w:tcW w:w="2718" w:type="dxa"/>
            <w:vAlign w:val="center"/>
          </w:tcPr>
          <w:p w:rsidR="005D2042" w:rsidRDefault="005D2042" w:rsidP="00857F7B">
            <w:pPr>
              <w:jc w:val="center"/>
              <w:cnfStyle w:val="1000000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Remark</w:t>
            </w:r>
          </w:p>
        </w:tc>
      </w:tr>
      <w:tr w:rsidR="005D2042" w:rsidTr="00857F7B">
        <w:trPr>
          <w:cnfStyle w:val="000000100000"/>
        </w:trPr>
        <w:tc>
          <w:tcPr>
            <w:cnfStyle w:val="001000000000"/>
            <w:tcW w:w="483" w:type="dxa"/>
          </w:tcPr>
          <w:p w:rsidR="005D2042" w:rsidRPr="009E0EB8" w:rsidRDefault="005D2042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1</w:t>
            </w:r>
          </w:p>
        </w:tc>
        <w:tc>
          <w:tcPr>
            <w:tcW w:w="4215" w:type="dxa"/>
          </w:tcPr>
          <w:p w:rsidR="005D2042" w:rsidRPr="009E0EB8" w:rsidRDefault="005D2042" w:rsidP="00857F7B">
            <w:pPr>
              <w:cnfStyle w:val="000000100000"/>
              <w:rPr>
                <w:rFonts w:cs="Arial"/>
                <w:szCs w:val="20"/>
              </w:rPr>
            </w:pPr>
            <w:r w:rsidRPr="009E0EB8">
              <w:rPr>
                <w:rFonts w:cs="Arial"/>
                <w:szCs w:val="20"/>
              </w:rPr>
              <w:t>eShare Payment</w:t>
            </w:r>
          </w:p>
        </w:tc>
        <w:tc>
          <w:tcPr>
            <w:tcW w:w="2160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 June 2010</w:t>
            </w:r>
          </w:p>
        </w:tc>
        <w:tc>
          <w:tcPr>
            <w:tcW w:w="2718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 changes in the existing system as it only a setting required at CORUS.</w:t>
            </w:r>
          </w:p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</w:p>
        </w:tc>
      </w:tr>
      <w:tr w:rsidR="005D2042" w:rsidTr="00857F7B">
        <w:trPr>
          <w:cnfStyle w:val="000000010000"/>
        </w:trPr>
        <w:tc>
          <w:tcPr>
            <w:cnfStyle w:val="001000000000"/>
            <w:tcW w:w="483" w:type="dxa"/>
          </w:tcPr>
          <w:p w:rsidR="005D2042" w:rsidRDefault="005D2042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2</w:t>
            </w:r>
          </w:p>
        </w:tc>
        <w:tc>
          <w:tcPr>
            <w:tcW w:w="4215" w:type="dxa"/>
          </w:tcPr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Increase Limit</w:t>
            </w:r>
          </w:p>
        </w:tc>
        <w:tc>
          <w:tcPr>
            <w:tcW w:w="2160" w:type="dxa"/>
          </w:tcPr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01 September 2010</w:t>
            </w:r>
          </w:p>
        </w:tc>
        <w:tc>
          <w:tcPr>
            <w:tcW w:w="2718" w:type="dxa"/>
          </w:tcPr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RFI to accept the payment.</w:t>
            </w:r>
          </w:p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OFI is August 2011.</w:t>
            </w:r>
          </w:p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Fee structure for OFI to customer is subject to BNM approval.</w:t>
            </w:r>
          </w:p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</w:p>
        </w:tc>
      </w:tr>
      <w:tr w:rsidR="005D2042" w:rsidTr="00857F7B">
        <w:trPr>
          <w:cnfStyle w:val="000000100000"/>
        </w:trPr>
        <w:tc>
          <w:tcPr>
            <w:cnfStyle w:val="001000000000"/>
            <w:tcW w:w="483" w:type="dxa"/>
          </w:tcPr>
          <w:p w:rsidR="005D2042" w:rsidRPr="009E0EB8" w:rsidRDefault="005D2042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3</w:t>
            </w:r>
          </w:p>
        </w:tc>
        <w:tc>
          <w:tcPr>
            <w:tcW w:w="4215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9E0EB8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 Addenda:</w:t>
            </w:r>
          </w:p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Payment Information and eDividend</w:t>
            </w:r>
          </w:p>
          <w:p w:rsidR="005D2042" w:rsidRPr="009E0EB8" w:rsidRDefault="005D2042" w:rsidP="00857F7B">
            <w:pPr>
              <w:cnfStyle w:val="000000100000"/>
              <w:rPr>
                <w:rFonts w:cs="Arial"/>
                <w:szCs w:val="20"/>
              </w:rPr>
            </w:pPr>
          </w:p>
        </w:tc>
        <w:tc>
          <w:tcPr>
            <w:tcW w:w="2160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 November 2010</w:t>
            </w:r>
          </w:p>
        </w:tc>
        <w:tc>
          <w:tcPr>
            <w:tcW w:w="2718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</w:p>
        </w:tc>
      </w:tr>
      <w:tr w:rsidR="005D2042" w:rsidTr="00857F7B">
        <w:trPr>
          <w:cnfStyle w:val="000000010000"/>
          <w:trHeight w:val="358"/>
        </w:trPr>
        <w:tc>
          <w:tcPr>
            <w:cnfStyle w:val="001000000000"/>
            <w:tcW w:w="483" w:type="dxa"/>
          </w:tcPr>
          <w:p w:rsidR="005D2042" w:rsidRPr="009E0EB8" w:rsidRDefault="005D2042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4</w:t>
            </w:r>
          </w:p>
        </w:tc>
        <w:tc>
          <w:tcPr>
            <w:tcW w:w="4215" w:type="dxa"/>
          </w:tcPr>
          <w:p w:rsidR="005D2042" w:rsidRPr="009E0EB8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9E0EB8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Validation of Code 5</w:t>
            </w:r>
          </w:p>
        </w:tc>
        <w:tc>
          <w:tcPr>
            <w:tcW w:w="2160" w:type="dxa"/>
          </w:tcPr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 November 2010</w:t>
            </w:r>
          </w:p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</w:p>
        </w:tc>
        <w:tc>
          <w:tcPr>
            <w:tcW w:w="2718" w:type="dxa"/>
          </w:tcPr>
          <w:p w:rsidR="005D2042" w:rsidRDefault="005D2042" w:rsidP="00857F7B">
            <w:pPr>
              <w:cnfStyle w:val="000000010000"/>
              <w:rPr>
                <w:rFonts w:cs="Arial"/>
                <w:szCs w:val="20"/>
              </w:rPr>
            </w:pPr>
          </w:p>
        </w:tc>
      </w:tr>
      <w:tr w:rsidR="005D2042" w:rsidTr="00857F7B">
        <w:trPr>
          <w:cnfStyle w:val="000000100000"/>
        </w:trPr>
        <w:tc>
          <w:tcPr>
            <w:cnfStyle w:val="001000000000"/>
            <w:tcW w:w="483" w:type="dxa"/>
          </w:tcPr>
          <w:p w:rsidR="005D2042" w:rsidRPr="009E0EB8" w:rsidRDefault="005D2042" w:rsidP="00857F7B">
            <w:pPr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5</w:t>
            </w:r>
          </w:p>
        </w:tc>
        <w:tc>
          <w:tcPr>
            <w:tcW w:w="4215" w:type="dxa"/>
          </w:tcPr>
          <w:p w:rsidR="005D2042" w:rsidRPr="009E0EB8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AG Salary Payment</w:t>
            </w:r>
          </w:p>
        </w:tc>
        <w:tc>
          <w:tcPr>
            <w:tcW w:w="2160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9E0EB8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Quarter 2011</w:t>
            </w:r>
          </w:p>
        </w:tc>
        <w:tc>
          <w:tcPr>
            <w:tcW w:w="2718" w:type="dxa"/>
          </w:tcPr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MEPS will confirm the finalized timeline based on all banks feedback on the development required.</w:t>
            </w:r>
          </w:p>
          <w:p w:rsidR="005D2042" w:rsidRDefault="005D2042" w:rsidP="00857F7B">
            <w:pPr>
              <w:cnfStyle w:val="000000100000"/>
              <w:rPr>
                <w:rFonts w:cs="Arial"/>
                <w:szCs w:val="20"/>
              </w:rPr>
            </w:pPr>
          </w:p>
        </w:tc>
      </w:tr>
    </w:tbl>
    <w:p w:rsidR="005D2042" w:rsidRPr="005D2042" w:rsidRDefault="005D2042" w:rsidP="005D2042"/>
    <w:sectPr w:rsidR="005D2042" w:rsidRPr="005D2042" w:rsidSect="00633206">
      <w:headerReference w:type="even" r:id="rId19"/>
      <w:headerReference w:type="default" r:id="rId20"/>
      <w:footerReference w:type="default" r:id="rId21"/>
      <w:headerReference w:type="first" r:id="rId22"/>
      <w:pgSz w:w="11906" w:h="16838" w:code="9"/>
      <w:pgMar w:top="1440" w:right="1469" w:bottom="1440" w:left="1800" w:header="720" w:footer="43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F5" w:rsidRDefault="00A226F5" w:rsidP="009122EB">
      <w:r>
        <w:separator/>
      </w:r>
    </w:p>
  </w:endnote>
  <w:endnote w:type="continuationSeparator" w:id="1">
    <w:p w:rsidR="00A226F5" w:rsidRDefault="00A226F5" w:rsidP="0091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 w:rsidP="00040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7F7B" w:rsidRDefault="00857F7B" w:rsidP="000402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 w:rsidP="000402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57F7B" w:rsidRDefault="00857F7B" w:rsidP="0063320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5391"/>
      <w:docPartObj>
        <w:docPartGallery w:val="Page Numbers (Bottom of Page)"/>
        <w:docPartUnique/>
      </w:docPartObj>
    </w:sdtPr>
    <w:sdtContent>
      <w:p w:rsidR="00857F7B" w:rsidRDefault="00857F7B">
        <w:pPr>
          <w:pStyle w:val="Footer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857F7B" w:rsidRPr="00633206" w:rsidRDefault="00857F7B" w:rsidP="006332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F5" w:rsidRDefault="00A226F5" w:rsidP="009122EB">
      <w:r>
        <w:separator/>
      </w:r>
    </w:p>
  </w:footnote>
  <w:footnote w:type="continuationSeparator" w:id="1">
    <w:p w:rsidR="00A226F5" w:rsidRDefault="00A226F5" w:rsidP="00912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16" o:spid="_x0000_s3075" type="#_x0000_t136" style="position:absolute;left:0;text-align:left;margin-left:0;margin-top:0;width:434.9pt;height:173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Pr="00E32A88" w:rsidRDefault="00857F7B" w:rsidP="00E32A8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17" o:spid="_x0000_s3076" type="#_x0000_t136" style="position:absolute;left:0;text-align:left;margin-left:0;margin-top:0;width:434.9pt;height:173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  <w:lang w:eastAsia="en-US"/>
      </w:rPr>
      <w:drawing>
        <wp:inline distT="0" distB="0" distL="0" distR="0">
          <wp:extent cx="5218430" cy="410210"/>
          <wp:effectExtent l="19050" t="0" r="127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15" o:spid="_x0000_s3074" type="#_x0000_t136" style="position:absolute;left:0;text-align:left;margin-left:0;margin-top:0;width:434.9pt;height:173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19" o:spid="_x0000_s3078" type="#_x0000_t136" style="position:absolute;left:0;text-align:left;margin-left:0;margin-top:0;width:434.9pt;height:173.9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>
    <w:pPr>
      <w:pStyle w:val="Header"/>
    </w:pPr>
    <w:r w:rsidRPr="0032352F">
      <w:rPr>
        <w:noProof/>
        <w:lang w:eastAsia="en-US"/>
      </w:rPr>
      <w:drawing>
        <wp:inline distT="0" distB="0" distL="0" distR="0">
          <wp:extent cx="5218430" cy="410210"/>
          <wp:effectExtent l="19050" t="0" r="127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8430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20" o:spid="_x0000_s3079" type="#_x0000_t136" style="position:absolute;left:0;text-align:left;margin-left:0;margin-top:0;width:434.9pt;height:173.9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7B" w:rsidRDefault="00857F7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6518" o:spid="_x0000_s3077" type="#_x0000_t136" style="position:absolute;left:0;text-align:left;margin-left:0;margin-top:0;width:434.9pt;height:173.9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5F4"/>
    <w:multiLevelType w:val="hybridMultilevel"/>
    <w:tmpl w:val="F17CC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12E28"/>
    <w:multiLevelType w:val="hybridMultilevel"/>
    <w:tmpl w:val="89E45106"/>
    <w:lvl w:ilvl="0" w:tplc="5338F5A6">
      <w:start w:val="8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F25190"/>
    <w:multiLevelType w:val="hybridMultilevel"/>
    <w:tmpl w:val="17C42860"/>
    <w:lvl w:ilvl="0" w:tplc="0270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0103"/>
    <w:multiLevelType w:val="hybridMultilevel"/>
    <w:tmpl w:val="E92C04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E34A39"/>
    <w:multiLevelType w:val="hybridMultilevel"/>
    <w:tmpl w:val="7FCA0464"/>
    <w:lvl w:ilvl="0" w:tplc="645C9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CC699F"/>
    <w:multiLevelType w:val="hybridMultilevel"/>
    <w:tmpl w:val="9B9C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6FA0"/>
    <w:multiLevelType w:val="hybridMultilevel"/>
    <w:tmpl w:val="3D149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52866"/>
    <w:multiLevelType w:val="hybridMultilevel"/>
    <w:tmpl w:val="FD44DA56"/>
    <w:lvl w:ilvl="0" w:tplc="642A1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BA145F"/>
    <w:multiLevelType w:val="hybridMultilevel"/>
    <w:tmpl w:val="F230A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82988"/>
    <w:multiLevelType w:val="hybridMultilevel"/>
    <w:tmpl w:val="04266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9764D"/>
    <w:multiLevelType w:val="hybridMultilevel"/>
    <w:tmpl w:val="9318A4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7667"/>
    <w:multiLevelType w:val="hybridMultilevel"/>
    <w:tmpl w:val="579C7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0A75C9"/>
    <w:multiLevelType w:val="hybridMultilevel"/>
    <w:tmpl w:val="78606B00"/>
    <w:lvl w:ilvl="0" w:tplc="B6DEF83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0462F"/>
    <w:multiLevelType w:val="hybridMultilevel"/>
    <w:tmpl w:val="0284D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5627C"/>
    <w:multiLevelType w:val="hybridMultilevel"/>
    <w:tmpl w:val="B9DE329C"/>
    <w:lvl w:ilvl="0" w:tplc="5EC4E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0D9C"/>
    <w:multiLevelType w:val="hybridMultilevel"/>
    <w:tmpl w:val="A5FAEB92"/>
    <w:lvl w:ilvl="0" w:tplc="6DF2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66362"/>
    <w:multiLevelType w:val="hybridMultilevel"/>
    <w:tmpl w:val="DCBEE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10475"/>
    <w:multiLevelType w:val="hybridMultilevel"/>
    <w:tmpl w:val="17C42860"/>
    <w:lvl w:ilvl="0" w:tplc="0270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F1A25"/>
    <w:multiLevelType w:val="hybridMultilevel"/>
    <w:tmpl w:val="8BEEB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324A9"/>
    <w:multiLevelType w:val="multilevel"/>
    <w:tmpl w:val="3EFCCB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158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>
    <w:nsid w:val="50FE7273"/>
    <w:multiLevelType w:val="hybridMultilevel"/>
    <w:tmpl w:val="FC247C74"/>
    <w:lvl w:ilvl="0" w:tplc="C18CB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C6BBB"/>
    <w:multiLevelType w:val="hybridMultilevel"/>
    <w:tmpl w:val="730CF8E4"/>
    <w:lvl w:ilvl="0" w:tplc="326CD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BFB726C"/>
    <w:multiLevelType w:val="hybridMultilevel"/>
    <w:tmpl w:val="CF268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C0DC6"/>
    <w:multiLevelType w:val="hybridMultilevel"/>
    <w:tmpl w:val="42A080AC"/>
    <w:lvl w:ilvl="0" w:tplc="0270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D1627"/>
    <w:multiLevelType w:val="hybridMultilevel"/>
    <w:tmpl w:val="1E4E0C1A"/>
    <w:lvl w:ilvl="0" w:tplc="1728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2910"/>
    <w:multiLevelType w:val="hybridMultilevel"/>
    <w:tmpl w:val="C7C679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80417"/>
    <w:multiLevelType w:val="hybridMultilevel"/>
    <w:tmpl w:val="134A4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33D51"/>
    <w:multiLevelType w:val="hybridMultilevel"/>
    <w:tmpl w:val="39666DD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2533B06"/>
    <w:multiLevelType w:val="hybridMultilevel"/>
    <w:tmpl w:val="3BAED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1817"/>
    <w:multiLevelType w:val="hybridMultilevel"/>
    <w:tmpl w:val="BD90DE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F75A91"/>
    <w:multiLevelType w:val="hybridMultilevel"/>
    <w:tmpl w:val="4692E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3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26"/>
  </w:num>
  <w:num w:numId="10">
    <w:abstractNumId w:val="21"/>
  </w:num>
  <w:num w:numId="11">
    <w:abstractNumId w:val="4"/>
  </w:num>
  <w:num w:numId="12">
    <w:abstractNumId w:val="1"/>
  </w:num>
  <w:num w:numId="13">
    <w:abstractNumId w:val="14"/>
  </w:num>
  <w:num w:numId="14">
    <w:abstractNumId w:val="23"/>
  </w:num>
  <w:num w:numId="15">
    <w:abstractNumId w:val="17"/>
  </w:num>
  <w:num w:numId="16">
    <w:abstractNumId w:val="2"/>
  </w:num>
  <w:num w:numId="17">
    <w:abstractNumId w:val="27"/>
  </w:num>
  <w:num w:numId="18">
    <w:abstractNumId w:val="18"/>
  </w:num>
  <w:num w:numId="19">
    <w:abstractNumId w:val="28"/>
  </w:num>
  <w:num w:numId="20">
    <w:abstractNumId w:val="16"/>
  </w:num>
  <w:num w:numId="21">
    <w:abstractNumId w:val="10"/>
  </w:num>
  <w:num w:numId="22">
    <w:abstractNumId w:val="6"/>
  </w:num>
  <w:num w:numId="23">
    <w:abstractNumId w:val="0"/>
  </w:num>
  <w:num w:numId="24">
    <w:abstractNumId w:val="11"/>
  </w:num>
  <w:num w:numId="25">
    <w:abstractNumId w:val="12"/>
  </w:num>
  <w:num w:numId="26">
    <w:abstractNumId w:val="29"/>
  </w:num>
  <w:num w:numId="27">
    <w:abstractNumId w:val="9"/>
  </w:num>
  <w:num w:numId="28">
    <w:abstractNumId w:val="13"/>
  </w:num>
  <w:num w:numId="29">
    <w:abstractNumId w:val="15"/>
  </w:num>
  <w:num w:numId="30">
    <w:abstractNumId w:val="24"/>
  </w:num>
  <w:num w:numId="31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0"/>
  <w:drawingGridVerticalSpacing w:val="156"/>
  <w:displayHorizontalDrawingGridEvery w:val="2"/>
  <w:displayVerticalDrawingGridEvery w:val="2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47B0E"/>
    <w:rsid w:val="00004F3D"/>
    <w:rsid w:val="00010EBD"/>
    <w:rsid w:val="00016370"/>
    <w:rsid w:val="000174CE"/>
    <w:rsid w:val="000224D9"/>
    <w:rsid w:val="00033969"/>
    <w:rsid w:val="00040255"/>
    <w:rsid w:val="000414CA"/>
    <w:rsid w:val="0006769F"/>
    <w:rsid w:val="00091C71"/>
    <w:rsid w:val="0009236F"/>
    <w:rsid w:val="0009273D"/>
    <w:rsid w:val="000A4A65"/>
    <w:rsid w:val="001042C8"/>
    <w:rsid w:val="00114DF1"/>
    <w:rsid w:val="001305B4"/>
    <w:rsid w:val="001415C1"/>
    <w:rsid w:val="0015019C"/>
    <w:rsid w:val="00161A6D"/>
    <w:rsid w:val="00161EF4"/>
    <w:rsid w:val="00204E69"/>
    <w:rsid w:val="002114D8"/>
    <w:rsid w:val="002142F8"/>
    <w:rsid w:val="00235737"/>
    <w:rsid w:val="002413B8"/>
    <w:rsid w:val="00250C88"/>
    <w:rsid w:val="00254BF6"/>
    <w:rsid w:val="00276409"/>
    <w:rsid w:val="002910ED"/>
    <w:rsid w:val="00291A27"/>
    <w:rsid w:val="002A18C7"/>
    <w:rsid w:val="002A380F"/>
    <w:rsid w:val="002D5CA9"/>
    <w:rsid w:val="0030005E"/>
    <w:rsid w:val="00302E73"/>
    <w:rsid w:val="00322786"/>
    <w:rsid w:val="00322E58"/>
    <w:rsid w:val="0032352F"/>
    <w:rsid w:val="0033690F"/>
    <w:rsid w:val="00337368"/>
    <w:rsid w:val="00337C81"/>
    <w:rsid w:val="003637AD"/>
    <w:rsid w:val="00384CB2"/>
    <w:rsid w:val="00393287"/>
    <w:rsid w:val="003C2627"/>
    <w:rsid w:val="003C7A5E"/>
    <w:rsid w:val="003E2F10"/>
    <w:rsid w:val="00401476"/>
    <w:rsid w:val="004059DA"/>
    <w:rsid w:val="00417570"/>
    <w:rsid w:val="00425730"/>
    <w:rsid w:val="0043764C"/>
    <w:rsid w:val="00454097"/>
    <w:rsid w:val="00456C06"/>
    <w:rsid w:val="004A2D6B"/>
    <w:rsid w:val="004D05B0"/>
    <w:rsid w:val="004E38FC"/>
    <w:rsid w:val="00515AF3"/>
    <w:rsid w:val="00517E28"/>
    <w:rsid w:val="0052701C"/>
    <w:rsid w:val="00563C6C"/>
    <w:rsid w:val="005C7C88"/>
    <w:rsid w:val="005D2042"/>
    <w:rsid w:val="00603293"/>
    <w:rsid w:val="00621024"/>
    <w:rsid w:val="0062669B"/>
    <w:rsid w:val="00633206"/>
    <w:rsid w:val="006B3240"/>
    <w:rsid w:val="006C0CDA"/>
    <w:rsid w:val="006D48C8"/>
    <w:rsid w:val="006F0D3C"/>
    <w:rsid w:val="007904BF"/>
    <w:rsid w:val="007A637E"/>
    <w:rsid w:val="007C06F1"/>
    <w:rsid w:val="007C2743"/>
    <w:rsid w:val="007C3608"/>
    <w:rsid w:val="007C700D"/>
    <w:rsid w:val="00804469"/>
    <w:rsid w:val="0082069C"/>
    <w:rsid w:val="00831EF4"/>
    <w:rsid w:val="008530DB"/>
    <w:rsid w:val="00857F7B"/>
    <w:rsid w:val="00861102"/>
    <w:rsid w:val="008624B6"/>
    <w:rsid w:val="00896630"/>
    <w:rsid w:val="008D6A1B"/>
    <w:rsid w:val="00911F21"/>
    <w:rsid w:val="009122EB"/>
    <w:rsid w:val="00942C60"/>
    <w:rsid w:val="009655C3"/>
    <w:rsid w:val="00966F8A"/>
    <w:rsid w:val="009D4F7E"/>
    <w:rsid w:val="00A00BF6"/>
    <w:rsid w:val="00A226F5"/>
    <w:rsid w:val="00A51555"/>
    <w:rsid w:val="00A5627F"/>
    <w:rsid w:val="00A6048B"/>
    <w:rsid w:val="00A62AC2"/>
    <w:rsid w:val="00A64FEA"/>
    <w:rsid w:val="00A82109"/>
    <w:rsid w:val="00A82285"/>
    <w:rsid w:val="00AB2DF6"/>
    <w:rsid w:val="00AB3787"/>
    <w:rsid w:val="00AC016F"/>
    <w:rsid w:val="00AC68F9"/>
    <w:rsid w:val="00AD2D08"/>
    <w:rsid w:val="00AE31D2"/>
    <w:rsid w:val="00B10175"/>
    <w:rsid w:val="00B27B73"/>
    <w:rsid w:val="00B31F4E"/>
    <w:rsid w:val="00B77FE9"/>
    <w:rsid w:val="00B9136C"/>
    <w:rsid w:val="00B9457A"/>
    <w:rsid w:val="00BA3E59"/>
    <w:rsid w:val="00BB380E"/>
    <w:rsid w:val="00BB4343"/>
    <w:rsid w:val="00BC0A61"/>
    <w:rsid w:val="00BD147B"/>
    <w:rsid w:val="00BD2D24"/>
    <w:rsid w:val="00C00C79"/>
    <w:rsid w:val="00C2424B"/>
    <w:rsid w:val="00C31F6E"/>
    <w:rsid w:val="00C52635"/>
    <w:rsid w:val="00C644EA"/>
    <w:rsid w:val="00C6532C"/>
    <w:rsid w:val="00C92911"/>
    <w:rsid w:val="00CB0994"/>
    <w:rsid w:val="00CB2229"/>
    <w:rsid w:val="00CF3550"/>
    <w:rsid w:val="00CF52FF"/>
    <w:rsid w:val="00D20AA8"/>
    <w:rsid w:val="00D33D79"/>
    <w:rsid w:val="00D41B10"/>
    <w:rsid w:val="00D47B0E"/>
    <w:rsid w:val="00D541BA"/>
    <w:rsid w:val="00DA4397"/>
    <w:rsid w:val="00DC0CAB"/>
    <w:rsid w:val="00DE28FE"/>
    <w:rsid w:val="00E129FE"/>
    <w:rsid w:val="00E3106D"/>
    <w:rsid w:val="00E32A88"/>
    <w:rsid w:val="00E46A35"/>
    <w:rsid w:val="00E6597D"/>
    <w:rsid w:val="00E67EF6"/>
    <w:rsid w:val="00E70179"/>
    <w:rsid w:val="00ED0255"/>
    <w:rsid w:val="00F02041"/>
    <w:rsid w:val="00F77040"/>
    <w:rsid w:val="00FB521B"/>
    <w:rsid w:val="00FF05AA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0E"/>
    <w:pPr>
      <w:widowControl w:val="0"/>
      <w:spacing w:after="0" w:line="240" w:lineRule="auto"/>
      <w:jc w:val="both"/>
    </w:pPr>
    <w:rPr>
      <w:rFonts w:ascii="Arial" w:eastAsia="SimSun" w:hAnsi="Arial" w:cs="Times New Roman"/>
      <w:kern w:val="2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47B0E"/>
    <w:pPr>
      <w:keepNext/>
      <w:keepLines/>
      <w:numPr>
        <w:numId w:val="1"/>
      </w:numPr>
      <w:jc w:val="left"/>
      <w:outlineLvl w:val="0"/>
    </w:pPr>
    <w:rPr>
      <w:rFonts w:eastAsia="Arial"/>
      <w:b/>
      <w:bCs/>
      <w:kern w:val="44"/>
      <w:sz w:val="40"/>
      <w:szCs w:val="44"/>
    </w:rPr>
  </w:style>
  <w:style w:type="paragraph" w:styleId="Heading2">
    <w:name w:val="heading 2"/>
    <w:basedOn w:val="Normal"/>
    <w:next w:val="Normal"/>
    <w:link w:val="Heading2Char"/>
    <w:qFormat/>
    <w:rsid w:val="00D47B0E"/>
    <w:pPr>
      <w:keepNext/>
      <w:keepLines/>
      <w:numPr>
        <w:ilvl w:val="1"/>
        <w:numId w:val="1"/>
      </w:numPr>
      <w:outlineLvl w:val="1"/>
    </w:pPr>
    <w:rPr>
      <w:rFonts w:eastAsia="SimHe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7B0E"/>
    <w:pPr>
      <w:keepNext/>
      <w:keepLines/>
      <w:numPr>
        <w:ilvl w:val="2"/>
        <w:numId w:val="1"/>
      </w:numPr>
      <w:outlineLvl w:val="2"/>
    </w:pPr>
    <w:rPr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D47B0E"/>
    <w:pPr>
      <w:keepNext/>
      <w:keepLines/>
      <w:numPr>
        <w:ilvl w:val="3"/>
        <w:numId w:val="1"/>
      </w:numPr>
      <w:tabs>
        <w:tab w:val="clear" w:pos="1584"/>
      </w:tabs>
      <w:outlineLvl w:val="3"/>
    </w:pPr>
    <w:rPr>
      <w:rFonts w:eastAsia="SimHe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7B0E"/>
    <w:pPr>
      <w:keepNext/>
      <w:keepLines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47B0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eastAsia="SimHei"/>
      <w:b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47B0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D47B0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eastAsia="SimHei"/>
      <w:sz w:val="24"/>
    </w:rPr>
  </w:style>
  <w:style w:type="paragraph" w:styleId="Heading9">
    <w:name w:val="heading 9"/>
    <w:basedOn w:val="Normal"/>
    <w:next w:val="Normal"/>
    <w:link w:val="Heading9Char"/>
    <w:qFormat/>
    <w:rsid w:val="00D47B0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eastAsia="SimHe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7B0E"/>
    <w:rPr>
      <w:rFonts w:ascii="Arial" w:eastAsia="Arial" w:hAnsi="Arial" w:cs="Times New Roman"/>
      <w:b/>
      <w:bCs/>
      <w:kern w:val="44"/>
      <w:sz w:val="40"/>
      <w:szCs w:val="44"/>
      <w:lang w:eastAsia="zh-CN"/>
    </w:rPr>
  </w:style>
  <w:style w:type="character" w:customStyle="1" w:styleId="Heading2Char">
    <w:name w:val="Heading 2 Char"/>
    <w:basedOn w:val="DefaultParagraphFont"/>
    <w:link w:val="Heading2"/>
    <w:rsid w:val="00D47B0E"/>
    <w:rPr>
      <w:rFonts w:ascii="Arial" w:eastAsia="SimHei" w:hAnsi="Arial" w:cs="Times New Roman"/>
      <w:b/>
      <w:bCs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D47B0E"/>
    <w:rPr>
      <w:rFonts w:ascii="Arial" w:eastAsia="SimSun" w:hAnsi="Arial" w:cs="Times New Roman"/>
      <w:b/>
      <w:bCs/>
      <w:kern w:val="2"/>
      <w:sz w:val="28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D47B0E"/>
    <w:rPr>
      <w:rFonts w:ascii="Arial" w:eastAsia="SimHei" w:hAnsi="Arial" w:cs="Times New Roman"/>
      <w:b/>
      <w:bCs/>
      <w:kern w:val="2"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D47B0E"/>
    <w:rPr>
      <w:rFonts w:ascii="Arial" w:eastAsia="SimSun" w:hAnsi="Arial" w:cs="Times New Roman"/>
      <w:b/>
      <w:bCs/>
      <w:kern w:val="2"/>
      <w:sz w:val="28"/>
      <w:szCs w:val="28"/>
      <w:lang w:eastAsia="zh-CN"/>
    </w:rPr>
  </w:style>
  <w:style w:type="character" w:customStyle="1" w:styleId="Heading6Char">
    <w:name w:val="Heading 6 Char"/>
    <w:basedOn w:val="DefaultParagraphFont"/>
    <w:link w:val="Heading6"/>
    <w:rsid w:val="00D47B0E"/>
    <w:rPr>
      <w:rFonts w:ascii="Arial" w:eastAsia="SimHei" w:hAnsi="Arial" w:cs="Times New Roman"/>
      <w:b/>
      <w:bCs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D47B0E"/>
    <w:rPr>
      <w:rFonts w:ascii="Arial" w:eastAsia="SimSun" w:hAnsi="Arial" w:cs="Times New Roman"/>
      <w:b/>
      <w:bCs/>
      <w:kern w:val="2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D47B0E"/>
    <w:rPr>
      <w:rFonts w:ascii="Arial" w:eastAsia="SimHei" w:hAnsi="Arial" w:cs="Times New Roman"/>
      <w:kern w:val="2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D47B0E"/>
    <w:rPr>
      <w:rFonts w:ascii="Arial" w:eastAsia="SimHei" w:hAnsi="Arial" w:cs="Times New Roman"/>
      <w:kern w:val="2"/>
      <w:sz w:val="20"/>
      <w:szCs w:val="21"/>
      <w:lang w:eastAsia="zh-CN"/>
    </w:rPr>
  </w:style>
  <w:style w:type="paragraph" w:styleId="TOC2">
    <w:name w:val="toc 2"/>
    <w:basedOn w:val="Normal"/>
    <w:next w:val="Normal"/>
    <w:autoRedefine/>
    <w:uiPriority w:val="39"/>
    <w:rsid w:val="00D47B0E"/>
    <w:pPr>
      <w:ind w:leftChars="200" w:left="420"/>
    </w:pPr>
    <w:rPr>
      <w:rFonts w:eastAsia="Arial"/>
    </w:rPr>
  </w:style>
  <w:style w:type="paragraph" w:styleId="TOC1">
    <w:name w:val="toc 1"/>
    <w:basedOn w:val="Normal"/>
    <w:next w:val="Normal"/>
    <w:autoRedefine/>
    <w:uiPriority w:val="39"/>
    <w:rsid w:val="00D47B0E"/>
    <w:rPr>
      <w:rFonts w:eastAsia="Arial"/>
    </w:rPr>
  </w:style>
  <w:style w:type="paragraph" w:styleId="TOC3">
    <w:name w:val="toc 3"/>
    <w:basedOn w:val="Normal"/>
    <w:next w:val="Normal"/>
    <w:autoRedefine/>
    <w:semiHidden/>
    <w:rsid w:val="00D47B0E"/>
    <w:pPr>
      <w:ind w:leftChars="400" w:left="840"/>
    </w:pPr>
    <w:rPr>
      <w:rFonts w:eastAsia="Arial"/>
    </w:rPr>
  </w:style>
  <w:style w:type="character" w:styleId="Hyperlink">
    <w:name w:val="Hyperlink"/>
    <w:basedOn w:val="DefaultParagraphFont"/>
    <w:uiPriority w:val="99"/>
    <w:rsid w:val="00D47B0E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D47B0E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47B0E"/>
    <w:rPr>
      <w:rFonts w:ascii="Tahoma" w:eastAsia="SimSun" w:hAnsi="Tahoma" w:cs="Tahoma"/>
      <w:kern w:val="2"/>
      <w:sz w:val="20"/>
      <w:szCs w:val="20"/>
      <w:shd w:val="clear" w:color="auto" w:fill="000080"/>
      <w:lang w:eastAsia="zh-CN"/>
    </w:rPr>
  </w:style>
  <w:style w:type="paragraph" w:styleId="Footer">
    <w:name w:val="footer"/>
    <w:basedOn w:val="Normal"/>
    <w:link w:val="FooterChar"/>
    <w:uiPriority w:val="99"/>
    <w:rsid w:val="00D4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47B0E"/>
    <w:rPr>
      <w:rFonts w:ascii="Arial" w:eastAsia="SimSun" w:hAnsi="Arial" w:cs="Times New Roman"/>
      <w:kern w:val="2"/>
      <w:sz w:val="18"/>
      <w:szCs w:val="18"/>
      <w:lang w:eastAsia="zh-CN"/>
    </w:rPr>
  </w:style>
  <w:style w:type="character" w:styleId="PageNumber">
    <w:name w:val="page number"/>
    <w:basedOn w:val="DefaultParagraphFont"/>
    <w:rsid w:val="00D47B0E"/>
  </w:style>
  <w:style w:type="paragraph" w:customStyle="1" w:styleId="SubSectStyle1">
    <w:name w:val="SubSectStyle1"/>
    <w:basedOn w:val="Normal"/>
    <w:autoRedefine/>
    <w:rsid w:val="00D47B0E"/>
    <w:pPr>
      <w:widowControl/>
      <w:pBdr>
        <w:top w:val="single" w:sz="6" w:space="1" w:color="auto"/>
      </w:pBdr>
      <w:tabs>
        <w:tab w:val="left" w:pos="1080"/>
      </w:tabs>
      <w:ind w:left="840"/>
    </w:pPr>
    <w:rPr>
      <w:rFonts w:ascii="Verdana" w:eastAsia="Times New Roman" w:hAnsi="Verdana"/>
      <w:b/>
      <w:bCs/>
      <w:color w:val="000000"/>
      <w:kern w:val="0"/>
      <w:sz w:val="24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D47B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MS Mincho" w:hAnsi="Courier New" w:cs="Courier New"/>
      <w:kern w:val="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D47B0E"/>
    <w:rPr>
      <w:rFonts w:ascii="Courier New" w:eastAsia="MS Mincho" w:hAnsi="Courier New" w:cs="Courier New"/>
      <w:sz w:val="20"/>
      <w:szCs w:val="20"/>
      <w:lang w:eastAsia="ja-JP"/>
    </w:rPr>
  </w:style>
  <w:style w:type="paragraph" w:styleId="ListParagraph">
    <w:name w:val="List Paragraph"/>
    <w:basedOn w:val="Normal"/>
    <w:qFormat/>
    <w:rsid w:val="00D47B0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D47B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7B0E"/>
    <w:rPr>
      <w:rFonts w:ascii="Arial" w:eastAsia="SimSun" w:hAnsi="Arial" w:cs="Times New Roman"/>
      <w:kern w:val="2"/>
      <w:sz w:val="20"/>
      <w:szCs w:val="24"/>
      <w:lang w:eastAsia="zh-CN"/>
    </w:rPr>
  </w:style>
  <w:style w:type="table" w:styleId="TableGrid">
    <w:name w:val="Table Grid"/>
    <w:basedOn w:val="TableNormal"/>
    <w:rsid w:val="00D47B0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Char">
    <w:name w:val="Heading 3 Char Char"/>
    <w:basedOn w:val="DefaultParagraphFont"/>
    <w:rsid w:val="00D47B0E"/>
    <w:rPr>
      <w:rFonts w:ascii="Arial" w:eastAsia="SimSun" w:hAnsi="Arial"/>
      <w:b/>
      <w:bCs/>
      <w:kern w:val="2"/>
      <w:sz w:val="28"/>
      <w:szCs w:val="32"/>
      <w:lang w:val="en-US" w:eastAsia="zh-CN" w:bidi="ar-SA"/>
    </w:rPr>
  </w:style>
  <w:style w:type="paragraph" w:styleId="NoSpacing">
    <w:name w:val="No Spacing"/>
    <w:qFormat/>
    <w:rsid w:val="00D47B0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B0E"/>
    <w:rPr>
      <w:rFonts w:ascii="Tahoma" w:eastAsia="SimSun" w:hAnsi="Tahoma" w:cs="Tahoma"/>
      <w:kern w:val="2"/>
      <w:sz w:val="16"/>
      <w:szCs w:val="16"/>
      <w:lang w:eastAsia="zh-CN"/>
    </w:rPr>
  </w:style>
  <w:style w:type="table" w:styleId="LightList-Accent6">
    <w:name w:val="Light List Accent 6"/>
    <w:basedOn w:val="TableNormal"/>
    <w:uiPriority w:val="61"/>
    <w:rsid w:val="00861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ediumGrid3-Accent6">
    <w:name w:val="Medium Grid 3 Accent 6"/>
    <w:basedOn w:val="TableNormal"/>
    <w:uiPriority w:val="69"/>
    <w:rsid w:val="00861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FB52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091C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AA44-B9B5-4F98-B7E8-99042424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13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kamaruddin.damiri</dc:creator>
  <cp:keywords/>
  <dc:description/>
  <cp:lastModifiedBy>kamaruddin.damiri</cp:lastModifiedBy>
  <cp:revision>90</cp:revision>
  <dcterms:created xsi:type="dcterms:W3CDTF">2010-05-04T08:28:00Z</dcterms:created>
  <dcterms:modified xsi:type="dcterms:W3CDTF">2010-06-08T01:13:00Z</dcterms:modified>
</cp:coreProperties>
</file>