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42702">
              <w:rPr>
                <w:sz w:val="20"/>
                <w:szCs w:val="20"/>
              </w:rPr>
              <w:t>2</w:t>
            </w:r>
            <w:r w:rsidR="008E46D7">
              <w:rPr>
                <w:sz w:val="20"/>
                <w:szCs w:val="20"/>
              </w:rPr>
              <w:t>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E46D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E7238">
              <w:rPr>
                <w:b/>
                <w:sz w:val="20"/>
                <w:szCs w:val="20"/>
              </w:rPr>
              <w:t xml:space="preserve">Post Event &gt; </w:t>
            </w:r>
            <w:r w:rsidR="008E46D7"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E4C2B">
              <w:rPr>
                <w:sz w:val="20"/>
                <w:szCs w:val="20"/>
              </w:rPr>
              <w:t>MIHAS_LTF – Exh01</w:t>
            </w:r>
            <w:r w:rsidR="00537D38">
              <w:rPr>
                <w:sz w:val="20"/>
                <w:szCs w:val="20"/>
              </w:rPr>
              <w:t>4</w:t>
            </w:r>
          </w:p>
          <w:p w:rsidR="009E4C2B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494CCA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effected :-</w:t>
            </w:r>
          </w:p>
          <w:p w:rsidR="00494CCA" w:rsidRDefault="00494C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494CCA" w:rsidRPr="00494CCA" w:rsidRDefault="00494CCA" w:rsidP="00494CC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94CCA">
              <w:rPr>
                <w:sz w:val="20"/>
                <w:szCs w:val="20"/>
              </w:rPr>
              <w:t>By Products/Services Category (Level 1) - Top 5 Products/Services</w:t>
            </w:r>
          </w:p>
          <w:p w:rsidR="00494CCA" w:rsidRPr="00494CCA" w:rsidRDefault="00494CCA" w:rsidP="00494CC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94CCA">
              <w:rPr>
                <w:sz w:val="20"/>
                <w:szCs w:val="20"/>
              </w:rPr>
              <w:t>By Products/Services Category (Level 1) - Top 10 Products/Services</w:t>
            </w:r>
          </w:p>
          <w:p w:rsidR="00494CCA" w:rsidRDefault="00494CCA" w:rsidP="00494CC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94CCA">
              <w:rPr>
                <w:sz w:val="20"/>
                <w:szCs w:val="20"/>
              </w:rPr>
              <w:t>By Products/Services Category (Level 1) - All Products/Services</w:t>
            </w:r>
          </w:p>
          <w:p w:rsidR="00494CCA" w:rsidRDefault="00494CCA" w:rsidP="00494CCA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E622F" w:rsidRDefault="00494CCA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Issue:- </w:t>
            </w:r>
            <w:r w:rsidR="006E622F">
              <w:rPr>
                <w:sz w:val="20"/>
                <w:szCs w:val="20"/>
              </w:rPr>
              <w:t xml:space="preserve">Sales is not grouped by day. </w:t>
            </w:r>
          </w:p>
          <w:p w:rsidR="006E622F" w:rsidRDefault="006E622F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Default="006E622F" w:rsidP="00F4270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highlighted this issue with Jiang Wei </w:t>
            </w:r>
            <w:r w:rsidR="00494CCA">
              <w:rPr>
                <w:sz w:val="20"/>
                <w:szCs w:val="20"/>
              </w:rPr>
              <w:t xml:space="preserve">(Report Developer) </w:t>
            </w:r>
            <w:r>
              <w:rPr>
                <w:sz w:val="20"/>
                <w:szCs w:val="20"/>
              </w:rPr>
              <w:t>on Thursday evening, and he informed will prepare report template for MATRADE to comment on how the report will be generated. But the report template still not received till Friday. Therefore I issued this log.</w:t>
            </w: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Pr="00D81F1C" w:rsidRDefault="00F42702" w:rsidP="00F4270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Event name : MIHAS 2014 Simulation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9E4C2B">
              <w:rPr>
                <w:b/>
                <w:sz w:val="20"/>
                <w:szCs w:val="20"/>
              </w:rPr>
              <w:t>26/3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F9557E" w:rsidP="00F654E7">
      <w:pPr>
        <w:tabs>
          <w:tab w:val="left" w:pos="1751"/>
        </w:tabs>
      </w:pPr>
      <w:r w:rsidRPr="00F9557E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72.4pt;margin-top:386.05pt;width:61pt;height:0;flip:x;z-index:251665408" o:connectortype="straight" strokecolor="red">
            <v:stroke endarrow="block"/>
          </v:shape>
        </w:pict>
      </w:r>
      <w:r w:rsidRPr="00F9557E">
        <w:rPr>
          <w:b/>
          <w:noProof/>
        </w:rPr>
        <w:pict>
          <v:shape id="_x0000_s1035" type="#_x0000_t32" style="position:absolute;margin-left:284.9pt;margin-top:47.05pt;width:61pt;height:0;flip:x;z-index:251664384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E622F">
        <w:rPr>
          <w:noProof/>
          <w:color w:val="000000"/>
          <w:w w:val="0"/>
          <w:sz w:val="0"/>
          <w:lang w:val="en-MY" w:eastAsia="en-MY"/>
        </w:rPr>
        <w:drawing>
          <wp:inline distT="0" distB="0" distL="0" distR="0">
            <wp:extent cx="4413377" cy="3740150"/>
            <wp:effectExtent l="19050" t="0" r="6223" b="0"/>
            <wp:docPr id="1" name="Picture 3" descr="C:\Users\user\Desktop\20160326 - tpms bug\not group in da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26 - tpms bug\not group in day 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377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22F">
        <w:rPr>
          <w:noProof/>
          <w:color w:val="000000"/>
          <w:w w:val="0"/>
          <w:sz w:val="0"/>
          <w:lang w:val="en-MY" w:eastAsia="en-MY"/>
        </w:rPr>
        <w:drawing>
          <wp:inline distT="0" distB="0" distL="0" distR="0">
            <wp:extent cx="5043047" cy="3441700"/>
            <wp:effectExtent l="19050" t="0" r="5203" b="0"/>
            <wp:docPr id="2" name="Picture 2" descr="C:\Users\user\Desktop\20160326 - tpms bug\not group in 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26 - tpms bug\not group in da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47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3B" w:rsidRDefault="00D81F1C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</w:pPr>
    </w:p>
    <w:p w:rsidR="00494CCA" w:rsidRPr="00494CCA" w:rsidRDefault="00494CCA" w:rsidP="00494CCA"/>
    <w:p w:rsidR="00494CCA" w:rsidRPr="00494CCA" w:rsidRDefault="00494CCA" w:rsidP="00494CCA"/>
    <w:p w:rsidR="00494CCA" w:rsidRPr="00494CCA" w:rsidRDefault="00494CCA" w:rsidP="00494CCA"/>
    <w:p w:rsidR="00494CCA" w:rsidRPr="00494CCA" w:rsidRDefault="00494CCA" w:rsidP="00494CCA"/>
    <w:p w:rsidR="00494CCA" w:rsidRPr="00494CCA" w:rsidRDefault="00494CCA" w:rsidP="00494CCA"/>
    <w:p w:rsidR="00494CCA" w:rsidRPr="00494CCA" w:rsidRDefault="00494CCA" w:rsidP="00494CCA"/>
    <w:p w:rsidR="00494CCA" w:rsidRDefault="00494CCA" w:rsidP="00494CCA"/>
    <w:p w:rsidR="00494CCA" w:rsidRDefault="00494CCA" w:rsidP="00494CCA"/>
    <w:p w:rsidR="00494CCA" w:rsidRDefault="00494CCA" w:rsidP="00494CCA">
      <w:pPr>
        <w:ind w:firstLine="720"/>
      </w:pPr>
    </w:p>
    <w:p w:rsidR="00494CCA" w:rsidRDefault="00494CCA" w:rsidP="00494CCA">
      <w:pPr>
        <w:ind w:firstLine="720"/>
      </w:pPr>
    </w:p>
    <w:p w:rsidR="003738A0" w:rsidRDefault="00F9557E" w:rsidP="00494CCA">
      <w:pPr>
        <w:ind w:firstLine="720"/>
      </w:pPr>
      <w:r w:rsidRPr="00F9557E">
        <w:rPr>
          <w:b/>
          <w:noProof/>
        </w:rPr>
        <w:lastRenderedPageBreak/>
        <w:pict>
          <v:shape id="_x0000_s1039" type="#_x0000_t32" style="position:absolute;left:0;text-align:left;margin-left:369.4pt;margin-top:323.8pt;width:61pt;height:0;flip:x;z-index:251667456" o:connectortype="straight" strokecolor="red">
            <v:stroke endarrow="block"/>
          </v:shape>
        </w:pict>
      </w:r>
      <w:r w:rsidRPr="00F9557E">
        <w:rPr>
          <w:noProof/>
        </w:rPr>
        <w:pict>
          <v:shape id="_x0000_s1038" type="#_x0000_t32" style="position:absolute;left:0;text-align:left;margin-left:274.9pt;margin-top:36.8pt;width:61pt;height:0;flip:x;z-index:251666432" o:connectortype="straight" strokecolor="red">
            <v:stroke endarrow="block"/>
          </v:shape>
        </w:pict>
      </w:r>
      <w:r w:rsidR="003738A0">
        <w:rPr>
          <w:noProof/>
          <w:lang w:val="en-MY" w:eastAsia="en-MY"/>
        </w:rPr>
        <w:drawing>
          <wp:inline distT="0" distB="0" distL="0" distR="0">
            <wp:extent cx="3710013" cy="3054350"/>
            <wp:effectExtent l="19050" t="0" r="4737" b="0"/>
            <wp:docPr id="6" name="Picture 5" descr="C:\Users\user\Desktop\20160326 - tpms bug\not group in day 10 prod 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60326 - tpms bug\not group in day 10 prod exce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13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8A0">
        <w:rPr>
          <w:noProof/>
          <w:lang w:val="en-MY" w:eastAsia="en-MY"/>
        </w:rPr>
        <w:drawing>
          <wp:inline distT="0" distB="0" distL="0" distR="0">
            <wp:extent cx="5464095" cy="3308350"/>
            <wp:effectExtent l="19050" t="0" r="3255" b="0"/>
            <wp:docPr id="5" name="Picture 4" descr="C:\Users\user\Desktop\20160326 - tpms bug\not group in day 10 prod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26 - tpms bug\not group in day 10 prod pdf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95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A0" w:rsidRPr="003738A0" w:rsidRDefault="003738A0" w:rsidP="003738A0"/>
    <w:p w:rsidR="003738A0" w:rsidRPr="003738A0" w:rsidRDefault="003738A0" w:rsidP="003738A0"/>
    <w:p w:rsidR="003738A0" w:rsidRPr="003738A0" w:rsidRDefault="003738A0" w:rsidP="003738A0"/>
    <w:p w:rsidR="003738A0" w:rsidRPr="003738A0" w:rsidRDefault="003738A0" w:rsidP="003738A0"/>
    <w:p w:rsidR="003738A0" w:rsidRPr="003738A0" w:rsidRDefault="003738A0" w:rsidP="003738A0"/>
    <w:p w:rsidR="003738A0" w:rsidRDefault="003738A0" w:rsidP="003738A0"/>
    <w:p w:rsidR="00494CCA" w:rsidRPr="003738A0" w:rsidRDefault="00F9557E" w:rsidP="003738A0">
      <w:pPr>
        <w:tabs>
          <w:tab w:val="left" w:pos="2340"/>
        </w:tabs>
      </w:pPr>
      <w:r w:rsidRPr="00F9557E">
        <w:rPr>
          <w:noProof/>
        </w:rPr>
        <w:lastRenderedPageBreak/>
        <w:pict>
          <v:shape id="_x0000_s1041" type="#_x0000_t32" style="position:absolute;margin-left:256.4pt;margin-top:34.3pt;width:61pt;height:0;flip:x;z-index:251669504" o:connectortype="straight" strokecolor="red">
            <v:stroke endarrow="block"/>
          </v:shape>
        </w:pict>
      </w:r>
      <w:r w:rsidRPr="00F9557E">
        <w:rPr>
          <w:noProof/>
        </w:rPr>
        <w:pict>
          <v:shape id="_x0000_s1040" type="#_x0000_t32" style="position:absolute;margin-left:326.4pt;margin-top:285.8pt;width:61pt;height:0;flip:x;z-index:251668480" o:connectortype="straight" strokecolor="red">
            <v:stroke endarrow="block"/>
          </v:shape>
        </w:pict>
      </w:r>
      <w:r w:rsidR="003738A0">
        <w:rPr>
          <w:noProof/>
          <w:lang w:val="en-MY" w:eastAsia="en-MY"/>
        </w:rPr>
        <w:drawing>
          <wp:inline distT="0" distB="0" distL="0" distR="0">
            <wp:extent cx="3587233" cy="2686050"/>
            <wp:effectExtent l="19050" t="0" r="0" b="0"/>
            <wp:docPr id="8" name="Picture 7" descr="C:\Users\user\Desktop\20160326 - tpms bug\not group in day all prod 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160326 - tpms bug\not group in day all prod exce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233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8A0">
        <w:rPr>
          <w:noProof/>
          <w:lang w:val="en-MY" w:eastAsia="en-MY"/>
        </w:rPr>
        <w:drawing>
          <wp:inline distT="0" distB="0" distL="0" distR="0">
            <wp:extent cx="4547704" cy="2952750"/>
            <wp:effectExtent l="19050" t="0" r="5246" b="0"/>
            <wp:docPr id="7" name="Picture 6" descr="C:\Users\user\Desktop\20160326 - tpms bug\not group in day all prod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60326 - tpms bug\not group in day all prod pdf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704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CCA" w:rsidRPr="003738A0" w:rsidSect="006B66A8">
      <w:headerReference w:type="default" r:id="rId13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C8" w:rsidRDefault="006D44C8">
      <w:r>
        <w:separator/>
      </w:r>
    </w:p>
  </w:endnote>
  <w:endnote w:type="continuationSeparator" w:id="0">
    <w:p w:rsidR="006D44C8" w:rsidRDefault="006D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C8" w:rsidRDefault="006D44C8">
      <w:r>
        <w:separator/>
      </w:r>
    </w:p>
  </w:footnote>
  <w:footnote w:type="continuationSeparator" w:id="0">
    <w:p w:rsidR="006D44C8" w:rsidRDefault="006D4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9557E" w:rsidP="00A420CA">
    <w:pPr>
      <w:pStyle w:val="Header"/>
      <w:tabs>
        <w:tab w:val="clear" w:pos="4320"/>
        <w:tab w:val="clear" w:pos="8640"/>
      </w:tabs>
      <w:jc w:val="right"/>
    </w:pPr>
    <w:r w:rsidRPr="00F9557E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6871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58A0"/>
    <w:multiLevelType w:val="hybridMultilevel"/>
    <w:tmpl w:val="92B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65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21980"/>
    <w:rsid w:val="0004241F"/>
    <w:rsid w:val="000503C4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3D4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1F32B0"/>
    <w:rsid w:val="0020435C"/>
    <w:rsid w:val="00243904"/>
    <w:rsid w:val="002515C5"/>
    <w:rsid w:val="00270C6A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347AF"/>
    <w:rsid w:val="00335404"/>
    <w:rsid w:val="00344C0E"/>
    <w:rsid w:val="003662FD"/>
    <w:rsid w:val="00371F4A"/>
    <w:rsid w:val="003738A0"/>
    <w:rsid w:val="00373FEF"/>
    <w:rsid w:val="00381AC9"/>
    <w:rsid w:val="003825E2"/>
    <w:rsid w:val="003866FD"/>
    <w:rsid w:val="003A1E70"/>
    <w:rsid w:val="003A68B2"/>
    <w:rsid w:val="003A69AF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4027D"/>
    <w:rsid w:val="00462CE3"/>
    <w:rsid w:val="00491D8E"/>
    <w:rsid w:val="00494CCA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566C"/>
    <w:rsid w:val="005265CD"/>
    <w:rsid w:val="00537D38"/>
    <w:rsid w:val="005446B1"/>
    <w:rsid w:val="00551F02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56279"/>
    <w:rsid w:val="00682216"/>
    <w:rsid w:val="00686274"/>
    <w:rsid w:val="0069097C"/>
    <w:rsid w:val="00694453"/>
    <w:rsid w:val="00694B0A"/>
    <w:rsid w:val="0069743C"/>
    <w:rsid w:val="006A09A9"/>
    <w:rsid w:val="006B1153"/>
    <w:rsid w:val="006B5780"/>
    <w:rsid w:val="006B66A8"/>
    <w:rsid w:val="006C0B7A"/>
    <w:rsid w:val="006D44C8"/>
    <w:rsid w:val="006D71DA"/>
    <w:rsid w:val="006E0C35"/>
    <w:rsid w:val="006E622F"/>
    <w:rsid w:val="006F1159"/>
    <w:rsid w:val="007510F5"/>
    <w:rsid w:val="00753415"/>
    <w:rsid w:val="00760036"/>
    <w:rsid w:val="007637CC"/>
    <w:rsid w:val="00767903"/>
    <w:rsid w:val="00773D14"/>
    <w:rsid w:val="00775897"/>
    <w:rsid w:val="00780CD1"/>
    <w:rsid w:val="007827DA"/>
    <w:rsid w:val="0078523D"/>
    <w:rsid w:val="007A7D74"/>
    <w:rsid w:val="007B37A8"/>
    <w:rsid w:val="007C6AC1"/>
    <w:rsid w:val="007E578D"/>
    <w:rsid w:val="007E5AF6"/>
    <w:rsid w:val="007E75D9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E46D7"/>
    <w:rsid w:val="008F2BD8"/>
    <w:rsid w:val="0091089D"/>
    <w:rsid w:val="00916849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E4C2B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76D4C"/>
    <w:rsid w:val="00BA27A7"/>
    <w:rsid w:val="00BA64F2"/>
    <w:rsid w:val="00BD6150"/>
    <w:rsid w:val="00BE44B5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A519F"/>
    <w:rsid w:val="00DB0F13"/>
    <w:rsid w:val="00DB25B6"/>
    <w:rsid w:val="00DB3F64"/>
    <w:rsid w:val="00DC792C"/>
    <w:rsid w:val="00DD1301"/>
    <w:rsid w:val="00DD5BAA"/>
    <w:rsid w:val="00DD6B2C"/>
    <w:rsid w:val="00DE121B"/>
    <w:rsid w:val="00DE7050"/>
    <w:rsid w:val="00DF63DF"/>
    <w:rsid w:val="00DF65A7"/>
    <w:rsid w:val="00E06A21"/>
    <w:rsid w:val="00E11BF7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3B61"/>
    <w:rsid w:val="00EA3712"/>
    <w:rsid w:val="00EB4D6C"/>
    <w:rsid w:val="00EC1535"/>
    <w:rsid w:val="00ED24F5"/>
    <w:rsid w:val="00ED311D"/>
    <w:rsid w:val="00EE0E70"/>
    <w:rsid w:val="00EE7238"/>
    <w:rsid w:val="00EF0877"/>
    <w:rsid w:val="00F134EF"/>
    <w:rsid w:val="00F22208"/>
    <w:rsid w:val="00F22353"/>
    <w:rsid w:val="00F310ED"/>
    <w:rsid w:val="00F42702"/>
    <w:rsid w:val="00F535B4"/>
    <w:rsid w:val="00F53E8E"/>
    <w:rsid w:val="00F64DAB"/>
    <w:rsid w:val="00F654E7"/>
    <w:rsid w:val="00F6768F"/>
    <w:rsid w:val="00F70BCF"/>
    <w:rsid w:val="00F77999"/>
    <w:rsid w:val="00F87878"/>
    <w:rsid w:val="00F9557E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  <o:rules v:ext="edit">
        <o:r id="V:Rule7" type="connector" idref="#_x0000_s1035"/>
        <o:r id="V:Rule8" type="connector" idref="#_x0000_s1038"/>
        <o:r id="V:Rule9" type="connector" idref="#_x0000_s1039"/>
        <o:r id="V:Rule10" type="connector" idref="#_x0000_s1041"/>
        <o:r id="V:Rule11" type="connector" idref="#_x0000_s1040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2016-03-28T08:20:00Z</dcterms:created>
  <dcterms:modified xsi:type="dcterms:W3CDTF">2016-03-28T08:20:00Z</dcterms:modified>
</cp:coreProperties>
</file>